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6D3AD3" w14:textId="4F34745C" w:rsidR="008D4204" w:rsidRPr="00A925B3" w:rsidRDefault="008D4204" w:rsidP="00A925B3">
      <w:pPr>
        <w:pStyle w:val="Titre"/>
      </w:pPr>
      <w:r w:rsidRPr="00A925B3">
        <w:t>Indicateurs de progrès dans les communications électroniques.</w:t>
      </w:r>
      <w:r w:rsidR="00A925B3" w:rsidRPr="00A925B3">
        <w:t xml:space="preserve"> </w:t>
      </w:r>
      <w:r w:rsidRPr="00A925B3">
        <w:t>Étude comparative de la France face aux 5 plus grands pays européens : Allem</w:t>
      </w:r>
      <w:bookmarkStart w:id="0" w:name="_GoBack"/>
      <w:bookmarkEnd w:id="0"/>
      <w:r w:rsidRPr="00A925B3">
        <w:t>agne, Espagne, Italie, Pologne et Royaume-Uni.</w:t>
      </w:r>
      <w:r w:rsidR="00A925B3" w:rsidRPr="00A925B3">
        <w:t xml:space="preserve"> </w:t>
      </w:r>
      <w:r w:rsidRPr="00A925B3">
        <w:t>17 décembre 2018.</w:t>
      </w:r>
    </w:p>
    <w:p w14:paraId="70FEDAAC" w14:textId="505DB1F8" w:rsidR="008D4204" w:rsidRPr="00A925B3" w:rsidRDefault="008D4204" w:rsidP="00A925B3">
      <w:pPr>
        <w:pStyle w:val="Titre1"/>
      </w:pPr>
      <w:r w:rsidRPr="00A925B3">
        <w:t xml:space="preserve">Partie 1 : Indicateurs de progrès dans les communications électroniques en </w:t>
      </w:r>
      <w:r w:rsidR="00A925B3" w:rsidRPr="00A925B3">
        <w:t>France.</w:t>
      </w:r>
    </w:p>
    <w:p w14:paraId="3D3F3A09" w14:textId="5F239F6A" w:rsidR="008D4204" w:rsidRPr="00A925B3" w:rsidRDefault="008D4204" w:rsidP="00712DEF">
      <w:pPr>
        <w:pStyle w:val="Titre2"/>
      </w:pPr>
      <w:r w:rsidRPr="00A925B3">
        <w:t>1.1 Un déploiement du haut débit sur tout le territoire, qui a encouragé l’équipement</w:t>
      </w:r>
      <w:r w:rsidR="00A925B3" w:rsidRPr="00A925B3">
        <w:t>.</w:t>
      </w:r>
    </w:p>
    <w:p w14:paraId="1325AD29" w14:textId="1EBD3812"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Un parc d’abonnés plus que doublé depuis 2006 !</w:t>
      </w:r>
      <w:r w:rsidR="00A925B3">
        <w:rPr>
          <w:rFonts w:eastAsia="Times New Roman" w:cstheme="minorHAnsi"/>
          <w:sz w:val="24"/>
          <w:szCs w:val="24"/>
          <w:lang w:eastAsia="fr-FR"/>
        </w:rPr>
        <w:t xml:space="preserve"> </w:t>
      </w:r>
      <w:r w:rsidRPr="008D4204">
        <w:rPr>
          <w:rFonts w:eastAsia="Times New Roman" w:cstheme="minorHAnsi"/>
          <w:sz w:val="24"/>
          <w:szCs w:val="24"/>
          <w:lang w:eastAsia="fr-FR"/>
        </w:rPr>
        <w:t>Accès haut et très haut débit fixe en France :</w:t>
      </w:r>
    </w:p>
    <w:p w14:paraId="2770B86A" w14:textId="58BEEBA6" w:rsidR="008D4204" w:rsidRPr="008D4204" w:rsidRDefault="00A925B3" w:rsidP="008D4204">
      <w:pPr>
        <w:numPr>
          <w:ilvl w:val="0"/>
          <w:numId w:val="2"/>
        </w:numPr>
        <w:spacing w:before="100" w:beforeAutospacing="1" w:after="100" w:afterAutospacing="1" w:line="240" w:lineRule="auto"/>
        <w:rPr>
          <w:rFonts w:eastAsia="Times New Roman" w:cstheme="minorHAnsi"/>
          <w:sz w:val="24"/>
          <w:szCs w:val="24"/>
          <w:lang w:eastAsia="fr-FR"/>
        </w:rPr>
      </w:pPr>
      <w:r w:rsidRPr="00A925B3">
        <w:rPr>
          <w:rFonts w:eastAsia="Times New Roman" w:cstheme="minorHAnsi"/>
          <w:b/>
          <w:bCs/>
          <w:sz w:val="24"/>
          <w:szCs w:val="24"/>
          <w:lang w:eastAsia="fr-FR"/>
        </w:rPr>
        <w:t>F</w:t>
      </w:r>
      <w:r w:rsidR="008D4204" w:rsidRPr="00A925B3">
        <w:rPr>
          <w:rFonts w:eastAsia="Times New Roman" w:cstheme="minorHAnsi"/>
          <w:b/>
          <w:bCs/>
          <w:sz w:val="24"/>
          <w:szCs w:val="24"/>
          <w:lang w:eastAsia="fr-FR"/>
        </w:rPr>
        <w:t>in 2006 :</w:t>
      </w:r>
      <w:r w:rsidR="008D4204" w:rsidRPr="008D4204">
        <w:rPr>
          <w:rFonts w:eastAsia="Times New Roman" w:cstheme="minorHAnsi"/>
          <w:sz w:val="24"/>
          <w:szCs w:val="24"/>
          <w:lang w:eastAsia="fr-FR"/>
        </w:rPr>
        <w:t xml:space="preserve"> 12,7 millions ;</w:t>
      </w:r>
    </w:p>
    <w:p w14:paraId="2A5F8F07" w14:textId="0AD08F33" w:rsidR="008D4204" w:rsidRPr="008D4204" w:rsidRDefault="00A925B3" w:rsidP="008D4204">
      <w:pPr>
        <w:numPr>
          <w:ilvl w:val="0"/>
          <w:numId w:val="2"/>
        </w:numPr>
        <w:spacing w:before="100" w:beforeAutospacing="1" w:after="100" w:afterAutospacing="1" w:line="240" w:lineRule="auto"/>
        <w:rPr>
          <w:rFonts w:eastAsia="Times New Roman" w:cstheme="minorHAnsi"/>
          <w:sz w:val="24"/>
          <w:szCs w:val="24"/>
          <w:lang w:eastAsia="fr-FR"/>
        </w:rPr>
      </w:pPr>
      <w:r w:rsidRPr="00A925B3">
        <w:rPr>
          <w:rFonts w:eastAsia="Times New Roman" w:cstheme="minorHAnsi"/>
          <w:b/>
          <w:bCs/>
          <w:sz w:val="24"/>
          <w:szCs w:val="24"/>
          <w:lang w:eastAsia="fr-FR"/>
        </w:rPr>
        <w:t>F</w:t>
      </w:r>
      <w:r w:rsidR="008D4204" w:rsidRPr="00A925B3">
        <w:rPr>
          <w:rFonts w:eastAsia="Times New Roman" w:cstheme="minorHAnsi"/>
          <w:b/>
          <w:bCs/>
          <w:sz w:val="24"/>
          <w:szCs w:val="24"/>
          <w:lang w:eastAsia="fr-FR"/>
        </w:rPr>
        <w:t>in juin 2018 :</w:t>
      </w:r>
      <w:r w:rsidR="008D4204" w:rsidRPr="008D4204">
        <w:rPr>
          <w:rFonts w:eastAsia="Times New Roman" w:cstheme="minorHAnsi"/>
          <w:sz w:val="24"/>
          <w:szCs w:val="24"/>
          <w:lang w:eastAsia="fr-FR"/>
        </w:rPr>
        <w:t xml:space="preserve"> 28,7 millions.</w:t>
      </w:r>
    </w:p>
    <w:p w14:paraId="2EFED530" w14:textId="77777777" w:rsidR="008D4204" w:rsidRPr="00A925B3" w:rsidRDefault="008D4204" w:rsidP="008D4204">
      <w:pPr>
        <w:spacing w:before="100" w:beforeAutospacing="1" w:after="100" w:afterAutospacing="1" w:line="240" w:lineRule="auto"/>
        <w:rPr>
          <w:rFonts w:eastAsia="Times New Roman" w:cstheme="minorHAnsi"/>
          <w:sz w:val="32"/>
          <w:szCs w:val="32"/>
          <w:lang w:eastAsia="fr-FR"/>
        </w:rPr>
      </w:pPr>
      <w:r w:rsidRPr="00A925B3">
        <w:rPr>
          <w:rFonts w:eastAsia="Times New Roman" w:cstheme="minorHAnsi"/>
          <w:sz w:val="24"/>
          <w:szCs w:val="24"/>
          <w:lang w:eastAsia="fr-FR"/>
        </w:rPr>
        <w:t>Source : Autorité de régulation des communications électroniques, des postes et de la distribution de la presse (Arcep).</w:t>
      </w:r>
    </w:p>
    <w:p w14:paraId="01455D85" w14:textId="77777777" w:rsidR="008D4204" w:rsidRPr="008D4204" w:rsidRDefault="008D4204" w:rsidP="00A925B3">
      <w:pPr>
        <w:pStyle w:val="Titre2"/>
      </w:pPr>
      <w:r w:rsidRPr="008D4204">
        <w:t>1.2 la France en tête des grands pays européens en matière de pénétration haut débit, avec un basculement rapide vers l’ultra haut débit.</w:t>
      </w:r>
    </w:p>
    <w:p w14:paraId="5D216AF1"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Taux de pénétration du haut débit fixe à fin 2017 (accès HD et THD pour 100 foyers) :</w:t>
      </w:r>
    </w:p>
    <w:p w14:paraId="66107F29" w14:textId="77777777" w:rsidR="008D4204" w:rsidRPr="008D4204" w:rsidRDefault="008D4204" w:rsidP="008D4204">
      <w:pPr>
        <w:numPr>
          <w:ilvl w:val="0"/>
          <w:numId w:val="3"/>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France :</w:t>
      </w:r>
      <w:r w:rsidRPr="008D4204">
        <w:rPr>
          <w:rFonts w:eastAsia="Times New Roman" w:cstheme="minorHAnsi"/>
          <w:sz w:val="24"/>
          <w:szCs w:val="24"/>
          <w:lang w:eastAsia="fr-FR"/>
        </w:rPr>
        <w:t xml:space="preserve"> 97,0 % ;</w:t>
      </w:r>
    </w:p>
    <w:p w14:paraId="21EB2482" w14:textId="77777777" w:rsidR="008D4204" w:rsidRPr="008D4204" w:rsidRDefault="008D4204" w:rsidP="008D4204">
      <w:pPr>
        <w:numPr>
          <w:ilvl w:val="0"/>
          <w:numId w:val="3"/>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Royaume-Uni :</w:t>
      </w:r>
      <w:r w:rsidRPr="008D4204">
        <w:rPr>
          <w:rFonts w:eastAsia="Times New Roman" w:cstheme="minorHAnsi"/>
          <w:sz w:val="24"/>
          <w:szCs w:val="24"/>
          <w:lang w:eastAsia="fr-FR"/>
        </w:rPr>
        <w:t xml:space="preserve"> 90,3 % ;</w:t>
      </w:r>
    </w:p>
    <w:p w14:paraId="54E4562F" w14:textId="77777777" w:rsidR="008D4204" w:rsidRPr="008D4204" w:rsidRDefault="008D4204" w:rsidP="008D4204">
      <w:pPr>
        <w:numPr>
          <w:ilvl w:val="0"/>
          <w:numId w:val="3"/>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Allemagne :</w:t>
      </w:r>
      <w:r w:rsidRPr="008D4204">
        <w:rPr>
          <w:rFonts w:eastAsia="Times New Roman" w:cstheme="minorHAnsi"/>
          <w:sz w:val="24"/>
          <w:szCs w:val="24"/>
          <w:lang w:eastAsia="fr-FR"/>
        </w:rPr>
        <w:t xml:space="preserve"> 81,5 % ;</w:t>
      </w:r>
    </w:p>
    <w:p w14:paraId="56CB2370" w14:textId="77777777" w:rsidR="008D4204" w:rsidRPr="008D4204" w:rsidRDefault="008D4204" w:rsidP="008D4204">
      <w:pPr>
        <w:numPr>
          <w:ilvl w:val="0"/>
          <w:numId w:val="3"/>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Espagne :</w:t>
      </w:r>
      <w:r w:rsidRPr="008D4204">
        <w:rPr>
          <w:rFonts w:eastAsia="Times New Roman" w:cstheme="minorHAnsi"/>
          <w:sz w:val="24"/>
          <w:szCs w:val="24"/>
          <w:lang w:eastAsia="fr-FR"/>
        </w:rPr>
        <w:t xml:space="preserve"> 78,2 % ;</w:t>
      </w:r>
    </w:p>
    <w:p w14:paraId="4A1B5BC6" w14:textId="77777777" w:rsidR="008D4204" w:rsidRPr="008D4204" w:rsidRDefault="008D4204" w:rsidP="008D4204">
      <w:pPr>
        <w:numPr>
          <w:ilvl w:val="0"/>
          <w:numId w:val="3"/>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Italie :</w:t>
      </w:r>
      <w:r w:rsidRPr="008D4204">
        <w:rPr>
          <w:rFonts w:eastAsia="Times New Roman" w:cstheme="minorHAnsi"/>
          <w:sz w:val="24"/>
          <w:szCs w:val="24"/>
          <w:lang w:eastAsia="fr-FR"/>
        </w:rPr>
        <w:t xml:space="preserve"> 64,1 % ;</w:t>
      </w:r>
    </w:p>
    <w:p w14:paraId="169C9DD6" w14:textId="77777777" w:rsidR="008D4204" w:rsidRPr="008D4204" w:rsidRDefault="008D4204" w:rsidP="008D4204">
      <w:pPr>
        <w:numPr>
          <w:ilvl w:val="0"/>
          <w:numId w:val="3"/>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Pologne :</w:t>
      </w:r>
      <w:r w:rsidRPr="008D4204">
        <w:rPr>
          <w:rFonts w:eastAsia="Times New Roman" w:cstheme="minorHAnsi"/>
          <w:sz w:val="24"/>
          <w:szCs w:val="24"/>
          <w:lang w:eastAsia="fr-FR"/>
        </w:rPr>
        <w:t xml:space="preserve"> 49,6 %.</w:t>
      </w:r>
    </w:p>
    <w:p w14:paraId="115FEB98" w14:textId="77777777" w:rsidR="008D4204" w:rsidRPr="00A925B3" w:rsidRDefault="008D4204" w:rsidP="008D4204">
      <w:pPr>
        <w:spacing w:before="100" w:beforeAutospacing="1" w:after="100" w:afterAutospacing="1" w:line="240" w:lineRule="auto"/>
        <w:rPr>
          <w:rFonts w:eastAsia="Times New Roman" w:cstheme="minorHAnsi"/>
          <w:sz w:val="32"/>
          <w:szCs w:val="32"/>
          <w:lang w:eastAsia="fr-FR"/>
        </w:rPr>
      </w:pPr>
      <w:r w:rsidRPr="00A925B3">
        <w:rPr>
          <w:rFonts w:eastAsia="Times New Roman" w:cstheme="minorHAnsi"/>
          <w:sz w:val="24"/>
          <w:szCs w:val="24"/>
          <w:lang w:eastAsia="fr-FR"/>
        </w:rPr>
        <w:t>Source : IDATE d'après données régulateurs.</w:t>
      </w:r>
    </w:p>
    <w:p w14:paraId="27DDD952"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Parc d’abonnés UHD (connexions &gt;= 100 Mbps) en France (en millions) :</w:t>
      </w:r>
    </w:p>
    <w:p w14:paraId="04E6F3FD"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2011 :</w:t>
      </w:r>
      <w:r w:rsidRPr="008D4204">
        <w:rPr>
          <w:rFonts w:eastAsia="Times New Roman" w:cstheme="minorHAnsi"/>
          <w:sz w:val="24"/>
          <w:szCs w:val="24"/>
          <w:lang w:eastAsia="fr-FR"/>
        </w:rPr>
        <w:t xml:space="preserve"> 0,6 million ;</w:t>
      </w:r>
    </w:p>
    <w:p w14:paraId="2B2AD22E"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2012 :</w:t>
      </w:r>
      <w:r w:rsidRPr="008D4204">
        <w:rPr>
          <w:rFonts w:eastAsia="Times New Roman" w:cstheme="minorHAnsi"/>
          <w:sz w:val="24"/>
          <w:szCs w:val="24"/>
          <w:lang w:eastAsia="fr-FR"/>
        </w:rPr>
        <w:t xml:space="preserve"> 0,6 million ;</w:t>
      </w:r>
    </w:p>
    <w:p w14:paraId="24CDFB11"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2012 :</w:t>
      </w:r>
      <w:r w:rsidRPr="008D4204">
        <w:rPr>
          <w:rFonts w:eastAsia="Times New Roman" w:cstheme="minorHAnsi"/>
          <w:sz w:val="24"/>
          <w:szCs w:val="24"/>
          <w:lang w:eastAsia="fr-FR"/>
        </w:rPr>
        <w:t xml:space="preserve"> 1 million ;</w:t>
      </w:r>
    </w:p>
    <w:p w14:paraId="0D25722D"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2013 :</w:t>
      </w:r>
      <w:r w:rsidRPr="008D4204">
        <w:rPr>
          <w:rFonts w:eastAsia="Times New Roman" w:cstheme="minorHAnsi"/>
          <w:sz w:val="24"/>
          <w:szCs w:val="24"/>
          <w:lang w:eastAsia="fr-FR"/>
        </w:rPr>
        <w:t xml:space="preserve"> 1,2 million ;</w:t>
      </w:r>
    </w:p>
    <w:p w14:paraId="7099E842"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2013 :</w:t>
      </w:r>
      <w:r w:rsidRPr="008D4204">
        <w:rPr>
          <w:rFonts w:eastAsia="Times New Roman" w:cstheme="minorHAnsi"/>
          <w:sz w:val="24"/>
          <w:szCs w:val="24"/>
          <w:lang w:eastAsia="fr-FR"/>
        </w:rPr>
        <w:t xml:space="preserve"> 1,4 million ;</w:t>
      </w:r>
    </w:p>
    <w:p w14:paraId="5B7029DB"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2014 :</w:t>
      </w:r>
      <w:r w:rsidRPr="008D4204">
        <w:rPr>
          <w:rFonts w:eastAsia="Times New Roman" w:cstheme="minorHAnsi"/>
          <w:sz w:val="24"/>
          <w:szCs w:val="24"/>
          <w:lang w:eastAsia="fr-FR"/>
        </w:rPr>
        <w:t xml:space="preserve"> 1,6 million ;</w:t>
      </w:r>
    </w:p>
    <w:p w14:paraId="79029664" w14:textId="77777777" w:rsidR="008D4204" w:rsidRPr="008D4204" w:rsidRDefault="008D4204" w:rsidP="00712DEF">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2014 :</w:t>
      </w:r>
      <w:r w:rsidRPr="008D4204">
        <w:rPr>
          <w:rFonts w:eastAsia="Times New Roman" w:cstheme="minorHAnsi"/>
          <w:sz w:val="24"/>
          <w:szCs w:val="24"/>
          <w:lang w:eastAsia="fr-FR"/>
        </w:rPr>
        <w:t xml:space="preserve"> 1,9 million ;</w:t>
      </w:r>
    </w:p>
    <w:p w14:paraId="73506061"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2015 :</w:t>
      </w:r>
      <w:r w:rsidRPr="008D4204">
        <w:rPr>
          <w:rFonts w:eastAsia="Times New Roman" w:cstheme="minorHAnsi"/>
          <w:sz w:val="24"/>
          <w:szCs w:val="24"/>
          <w:lang w:eastAsia="fr-FR"/>
        </w:rPr>
        <w:t xml:space="preserve"> 2,2 millions ;</w:t>
      </w:r>
    </w:p>
    <w:p w14:paraId="6D8E525C"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lastRenderedPageBreak/>
        <w:t>Fin 2015 :</w:t>
      </w:r>
      <w:r w:rsidRPr="008D4204">
        <w:rPr>
          <w:rFonts w:eastAsia="Times New Roman" w:cstheme="minorHAnsi"/>
          <w:sz w:val="24"/>
          <w:szCs w:val="24"/>
          <w:lang w:eastAsia="fr-FR"/>
        </w:rPr>
        <w:t xml:space="preserve"> 2,6 millions ;</w:t>
      </w:r>
    </w:p>
    <w:p w14:paraId="07FA8DA2"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2016 :</w:t>
      </w:r>
      <w:r w:rsidRPr="008D4204">
        <w:rPr>
          <w:rFonts w:eastAsia="Times New Roman" w:cstheme="minorHAnsi"/>
          <w:sz w:val="24"/>
          <w:szCs w:val="24"/>
          <w:lang w:eastAsia="fr-FR"/>
        </w:rPr>
        <w:t xml:space="preserve"> 3 millions ;</w:t>
      </w:r>
    </w:p>
    <w:p w14:paraId="32183D38"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2016 :</w:t>
      </w:r>
      <w:r w:rsidRPr="008D4204">
        <w:rPr>
          <w:rFonts w:eastAsia="Times New Roman" w:cstheme="minorHAnsi"/>
          <w:sz w:val="24"/>
          <w:szCs w:val="24"/>
          <w:lang w:eastAsia="fr-FR"/>
        </w:rPr>
        <w:t xml:space="preserve"> 3,5 millions ;</w:t>
      </w:r>
    </w:p>
    <w:p w14:paraId="66F15E1D"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2017 :</w:t>
      </w:r>
      <w:r w:rsidRPr="008D4204">
        <w:rPr>
          <w:rFonts w:eastAsia="Times New Roman" w:cstheme="minorHAnsi"/>
          <w:sz w:val="24"/>
          <w:szCs w:val="24"/>
          <w:lang w:eastAsia="fr-FR"/>
        </w:rPr>
        <w:t xml:space="preserve"> 3,9 millions ;</w:t>
      </w:r>
    </w:p>
    <w:p w14:paraId="54B47765"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2017 :</w:t>
      </w:r>
      <w:r w:rsidRPr="008D4204">
        <w:rPr>
          <w:rFonts w:eastAsia="Times New Roman" w:cstheme="minorHAnsi"/>
          <w:sz w:val="24"/>
          <w:szCs w:val="24"/>
          <w:lang w:eastAsia="fr-FR"/>
        </w:rPr>
        <w:t xml:space="preserve"> 4,8 millions ;</w:t>
      </w:r>
    </w:p>
    <w:p w14:paraId="2A553702" w14:textId="77777777" w:rsidR="008D4204" w:rsidRPr="008D4204" w:rsidRDefault="008D4204" w:rsidP="008D4204">
      <w:pPr>
        <w:numPr>
          <w:ilvl w:val="0"/>
          <w:numId w:val="4"/>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2018 :</w:t>
      </w:r>
      <w:r w:rsidRPr="008D4204">
        <w:rPr>
          <w:rFonts w:eastAsia="Times New Roman" w:cstheme="minorHAnsi"/>
          <w:sz w:val="24"/>
          <w:szCs w:val="24"/>
          <w:lang w:eastAsia="fr-FR"/>
        </w:rPr>
        <w:t xml:space="preserve"> 5,3 millions.</w:t>
      </w:r>
    </w:p>
    <w:p w14:paraId="222C0EFC" w14:textId="77777777" w:rsidR="008D4204" w:rsidRPr="00A925B3" w:rsidRDefault="008D4204" w:rsidP="00A925B3">
      <w:pPr>
        <w:spacing w:before="100" w:beforeAutospacing="1" w:after="100" w:afterAutospacing="1" w:line="240" w:lineRule="auto"/>
        <w:rPr>
          <w:rFonts w:eastAsia="Times New Roman" w:cstheme="minorHAnsi"/>
          <w:sz w:val="32"/>
          <w:szCs w:val="32"/>
          <w:lang w:eastAsia="fr-FR"/>
        </w:rPr>
      </w:pPr>
      <w:r w:rsidRPr="00A925B3">
        <w:rPr>
          <w:rFonts w:eastAsia="Times New Roman" w:cstheme="minorHAnsi"/>
          <w:sz w:val="24"/>
          <w:szCs w:val="24"/>
          <w:lang w:eastAsia="fr-FR"/>
        </w:rPr>
        <w:t>Source : Arcep.</w:t>
      </w:r>
    </w:p>
    <w:p w14:paraId="0F47A96C" w14:textId="77777777" w:rsidR="008D4204" w:rsidRPr="008D4204" w:rsidRDefault="008D4204" w:rsidP="00A925B3">
      <w:pPr>
        <w:pStyle w:val="Titre2"/>
      </w:pPr>
      <w:r w:rsidRPr="008D4204">
        <w:t>1.3 Dans le mobile, un rattrapage complet de la couverture LTE (</w:t>
      </w:r>
      <w:r w:rsidRPr="008D4204">
        <w:rPr>
          <w:i/>
          <w:iCs/>
        </w:rPr>
        <w:t xml:space="preserve">Long </w:t>
      </w:r>
      <w:proofErr w:type="spellStart"/>
      <w:r w:rsidRPr="008D4204">
        <w:rPr>
          <w:i/>
          <w:iCs/>
        </w:rPr>
        <w:t>Term</w:t>
      </w:r>
      <w:proofErr w:type="spellEnd"/>
      <w:r w:rsidRPr="008D4204">
        <w:rPr>
          <w:i/>
          <w:iCs/>
        </w:rPr>
        <w:t xml:space="preserve"> </w:t>
      </w:r>
      <w:proofErr w:type="spellStart"/>
      <w:proofErr w:type="gramStart"/>
      <w:r w:rsidRPr="008D4204">
        <w:rPr>
          <w:i/>
          <w:iCs/>
        </w:rPr>
        <w:t>Evolution</w:t>
      </w:r>
      <w:proofErr w:type="spellEnd"/>
      <w:r w:rsidRPr="008D4204">
        <w:t>)…</w:t>
      </w:r>
      <w:proofErr w:type="gramEnd"/>
    </w:p>
    <w:p w14:paraId="4B3B5FD6"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Couvertures nationales 4G (% des foyers couverts)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13"/>
        <w:gridCol w:w="1209"/>
        <w:gridCol w:w="1209"/>
        <w:gridCol w:w="1209"/>
        <w:gridCol w:w="1209"/>
        <w:gridCol w:w="1209"/>
        <w:gridCol w:w="1209"/>
      </w:tblGrid>
      <w:tr w:rsidR="008D4204" w:rsidRPr="008D4204" w14:paraId="6D352786" w14:textId="77777777" w:rsidTr="00A925B3">
        <w:trPr>
          <w:trHeight w:val="360"/>
        </w:trPr>
        <w:tc>
          <w:tcPr>
            <w:tcW w:w="1000" w:type="pct"/>
            <w:tcBorders>
              <w:top w:val="nil"/>
              <w:left w:val="nil"/>
            </w:tcBorders>
            <w:vAlign w:val="center"/>
            <w:hideMark/>
          </w:tcPr>
          <w:p w14:paraId="3FD87925"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 </w:t>
            </w:r>
          </w:p>
        </w:tc>
        <w:tc>
          <w:tcPr>
            <w:tcW w:w="666" w:type="pct"/>
            <w:shd w:val="clear" w:color="auto" w:fill="F2F2F2" w:themeFill="background1" w:themeFillShade="F2"/>
            <w:vAlign w:val="center"/>
            <w:hideMark/>
          </w:tcPr>
          <w:p w14:paraId="6EAC6990"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Fin 2012</w:t>
            </w:r>
          </w:p>
        </w:tc>
        <w:tc>
          <w:tcPr>
            <w:tcW w:w="666" w:type="pct"/>
            <w:shd w:val="clear" w:color="auto" w:fill="F2F2F2" w:themeFill="background1" w:themeFillShade="F2"/>
            <w:vAlign w:val="center"/>
            <w:hideMark/>
          </w:tcPr>
          <w:p w14:paraId="675AB372"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Fin 2013</w:t>
            </w:r>
          </w:p>
        </w:tc>
        <w:tc>
          <w:tcPr>
            <w:tcW w:w="666" w:type="pct"/>
            <w:shd w:val="clear" w:color="auto" w:fill="F2F2F2" w:themeFill="background1" w:themeFillShade="F2"/>
            <w:vAlign w:val="center"/>
            <w:hideMark/>
          </w:tcPr>
          <w:p w14:paraId="1DA2F941"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Fin 2014</w:t>
            </w:r>
          </w:p>
        </w:tc>
        <w:tc>
          <w:tcPr>
            <w:tcW w:w="666" w:type="pct"/>
            <w:shd w:val="clear" w:color="auto" w:fill="F2F2F2" w:themeFill="background1" w:themeFillShade="F2"/>
            <w:vAlign w:val="center"/>
            <w:hideMark/>
          </w:tcPr>
          <w:p w14:paraId="1040E81E"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Mi 2015</w:t>
            </w:r>
          </w:p>
        </w:tc>
        <w:tc>
          <w:tcPr>
            <w:tcW w:w="666" w:type="pct"/>
            <w:shd w:val="clear" w:color="auto" w:fill="F2F2F2" w:themeFill="background1" w:themeFillShade="F2"/>
            <w:vAlign w:val="center"/>
            <w:hideMark/>
          </w:tcPr>
          <w:p w14:paraId="25156E8A"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Mi 2016</w:t>
            </w:r>
          </w:p>
        </w:tc>
        <w:tc>
          <w:tcPr>
            <w:tcW w:w="666" w:type="pct"/>
            <w:shd w:val="clear" w:color="auto" w:fill="F2F2F2" w:themeFill="background1" w:themeFillShade="F2"/>
            <w:vAlign w:val="center"/>
            <w:hideMark/>
          </w:tcPr>
          <w:p w14:paraId="423E5AFB"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Mi 2017</w:t>
            </w:r>
          </w:p>
        </w:tc>
      </w:tr>
      <w:tr w:rsidR="008D4204" w:rsidRPr="008D4204" w14:paraId="1055DC4B" w14:textId="77777777" w:rsidTr="00A925B3">
        <w:trPr>
          <w:trHeight w:val="330"/>
        </w:trPr>
        <w:tc>
          <w:tcPr>
            <w:tcW w:w="1000" w:type="pct"/>
            <w:shd w:val="clear" w:color="auto" w:fill="F2F2F2" w:themeFill="background1" w:themeFillShade="F2"/>
            <w:vAlign w:val="center"/>
            <w:hideMark/>
          </w:tcPr>
          <w:p w14:paraId="2B3A1F71"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France</w:t>
            </w:r>
          </w:p>
        </w:tc>
        <w:tc>
          <w:tcPr>
            <w:tcW w:w="666" w:type="pct"/>
            <w:vAlign w:val="center"/>
            <w:hideMark/>
          </w:tcPr>
          <w:p w14:paraId="6FD4EAEB"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5 %</w:t>
            </w:r>
          </w:p>
        </w:tc>
        <w:tc>
          <w:tcPr>
            <w:tcW w:w="666" w:type="pct"/>
            <w:vAlign w:val="center"/>
            <w:hideMark/>
          </w:tcPr>
          <w:p w14:paraId="56453467"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68 %</w:t>
            </w:r>
          </w:p>
        </w:tc>
        <w:tc>
          <w:tcPr>
            <w:tcW w:w="666" w:type="pct"/>
            <w:vAlign w:val="center"/>
            <w:hideMark/>
          </w:tcPr>
          <w:p w14:paraId="37F83726"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75 %</w:t>
            </w:r>
          </w:p>
        </w:tc>
        <w:tc>
          <w:tcPr>
            <w:tcW w:w="666" w:type="pct"/>
            <w:vAlign w:val="center"/>
            <w:hideMark/>
          </w:tcPr>
          <w:p w14:paraId="48687D94"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78 %</w:t>
            </w:r>
          </w:p>
        </w:tc>
        <w:tc>
          <w:tcPr>
            <w:tcW w:w="666" w:type="pct"/>
            <w:vAlign w:val="center"/>
            <w:hideMark/>
          </w:tcPr>
          <w:p w14:paraId="6BA66942"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95 %</w:t>
            </w:r>
          </w:p>
        </w:tc>
        <w:tc>
          <w:tcPr>
            <w:tcW w:w="666" w:type="pct"/>
            <w:vAlign w:val="center"/>
            <w:hideMark/>
          </w:tcPr>
          <w:p w14:paraId="6A2108A7"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98,0 %</w:t>
            </w:r>
          </w:p>
        </w:tc>
      </w:tr>
      <w:tr w:rsidR="008D4204" w:rsidRPr="008D4204" w14:paraId="2B7C98C1" w14:textId="77777777" w:rsidTr="00A925B3">
        <w:trPr>
          <w:trHeight w:val="360"/>
        </w:trPr>
        <w:tc>
          <w:tcPr>
            <w:tcW w:w="1000" w:type="pct"/>
            <w:shd w:val="clear" w:color="auto" w:fill="F2F2F2" w:themeFill="background1" w:themeFillShade="F2"/>
            <w:vAlign w:val="center"/>
            <w:hideMark/>
          </w:tcPr>
          <w:p w14:paraId="48F0D2C2"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Allemagne</w:t>
            </w:r>
          </w:p>
        </w:tc>
        <w:tc>
          <w:tcPr>
            <w:tcW w:w="666" w:type="pct"/>
            <w:vAlign w:val="center"/>
            <w:hideMark/>
          </w:tcPr>
          <w:p w14:paraId="59D22814"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52 %</w:t>
            </w:r>
          </w:p>
        </w:tc>
        <w:tc>
          <w:tcPr>
            <w:tcW w:w="666" w:type="pct"/>
            <w:vAlign w:val="center"/>
            <w:hideMark/>
          </w:tcPr>
          <w:p w14:paraId="6E586BAB"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81 %</w:t>
            </w:r>
          </w:p>
        </w:tc>
        <w:tc>
          <w:tcPr>
            <w:tcW w:w="666" w:type="pct"/>
            <w:vAlign w:val="center"/>
            <w:hideMark/>
          </w:tcPr>
          <w:p w14:paraId="5127683F"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92 %</w:t>
            </w:r>
          </w:p>
        </w:tc>
        <w:tc>
          <w:tcPr>
            <w:tcW w:w="666" w:type="pct"/>
            <w:vAlign w:val="center"/>
            <w:hideMark/>
          </w:tcPr>
          <w:p w14:paraId="6FD70CBB"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94 %</w:t>
            </w:r>
          </w:p>
        </w:tc>
        <w:tc>
          <w:tcPr>
            <w:tcW w:w="666" w:type="pct"/>
            <w:vAlign w:val="center"/>
            <w:hideMark/>
          </w:tcPr>
          <w:p w14:paraId="28104597"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96 %</w:t>
            </w:r>
          </w:p>
        </w:tc>
        <w:tc>
          <w:tcPr>
            <w:tcW w:w="666" w:type="pct"/>
            <w:vAlign w:val="center"/>
            <w:hideMark/>
          </w:tcPr>
          <w:p w14:paraId="134A7BD0"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96,5 %</w:t>
            </w:r>
          </w:p>
        </w:tc>
      </w:tr>
      <w:tr w:rsidR="008D4204" w:rsidRPr="008D4204" w14:paraId="1296E5CE" w14:textId="77777777" w:rsidTr="00A925B3">
        <w:trPr>
          <w:trHeight w:val="360"/>
        </w:trPr>
        <w:tc>
          <w:tcPr>
            <w:tcW w:w="1000" w:type="pct"/>
            <w:shd w:val="clear" w:color="auto" w:fill="F2F2F2" w:themeFill="background1" w:themeFillShade="F2"/>
            <w:vAlign w:val="center"/>
            <w:hideMark/>
          </w:tcPr>
          <w:p w14:paraId="65FCF4CF"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Italie</w:t>
            </w:r>
          </w:p>
        </w:tc>
        <w:tc>
          <w:tcPr>
            <w:tcW w:w="666" w:type="pct"/>
            <w:vAlign w:val="center"/>
            <w:hideMark/>
          </w:tcPr>
          <w:p w14:paraId="34489B17"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18 %</w:t>
            </w:r>
          </w:p>
        </w:tc>
        <w:tc>
          <w:tcPr>
            <w:tcW w:w="666" w:type="pct"/>
            <w:vAlign w:val="center"/>
            <w:hideMark/>
          </w:tcPr>
          <w:p w14:paraId="60729ECA"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38 %</w:t>
            </w:r>
          </w:p>
        </w:tc>
        <w:tc>
          <w:tcPr>
            <w:tcW w:w="666" w:type="pct"/>
            <w:vAlign w:val="center"/>
            <w:hideMark/>
          </w:tcPr>
          <w:p w14:paraId="284298A1"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78 %</w:t>
            </w:r>
          </w:p>
        </w:tc>
        <w:tc>
          <w:tcPr>
            <w:tcW w:w="666" w:type="pct"/>
            <w:vAlign w:val="center"/>
            <w:hideMark/>
          </w:tcPr>
          <w:p w14:paraId="1DE62BE3"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90 %</w:t>
            </w:r>
          </w:p>
        </w:tc>
        <w:tc>
          <w:tcPr>
            <w:tcW w:w="666" w:type="pct"/>
            <w:vAlign w:val="center"/>
            <w:hideMark/>
          </w:tcPr>
          <w:p w14:paraId="222E5D50"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97 %</w:t>
            </w:r>
          </w:p>
        </w:tc>
        <w:tc>
          <w:tcPr>
            <w:tcW w:w="666" w:type="pct"/>
            <w:vAlign w:val="center"/>
            <w:hideMark/>
          </w:tcPr>
          <w:p w14:paraId="67BE823A"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98,7 %</w:t>
            </w:r>
          </w:p>
        </w:tc>
      </w:tr>
      <w:tr w:rsidR="008D4204" w:rsidRPr="008D4204" w14:paraId="48504435" w14:textId="77777777" w:rsidTr="00A925B3">
        <w:trPr>
          <w:trHeight w:val="360"/>
        </w:trPr>
        <w:tc>
          <w:tcPr>
            <w:tcW w:w="1000" w:type="pct"/>
            <w:shd w:val="clear" w:color="auto" w:fill="F2F2F2" w:themeFill="background1" w:themeFillShade="F2"/>
            <w:vAlign w:val="center"/>
            <w:hideMark/>
          </w:tcPr>
          <w:p w14:paraId="41FAD78B"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Espagne</w:t>
            </w:r>
          </w:p>
        </w:tc>
        <w:tc>
          <w:tcPr>
            <w:tcW w:w="666" w:type="pct"/>
            <w:vAlign w:val="center"/>
            <w:hideMark/>
          </w:tcPr>
          <w:p w14:paraId="4F2BC2D1"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0 %</w:t>
            </w:r>
          </w:p>
        </w:tc>
        <w:tc>
          <w:tcPr>
            <w:tcW w:w="666" w:type="pct"/>
            <w:vAlign w:val="center"/>
            <w:hideMark/>
          </w:tcPr>
          <w:p w14:paraId="5CDDA52A"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48 %</w:t>
            </w:r>
          </w:p>
        </w:tc>
        <w:tc>
          <w:tcPr>
            <w:tcW w:w="666" w:type="pct"/>
            <w:vAlign w:val="center"/>
            <w:hideMark/>
          </w:tcPr>
          <w:p w14:paraId="3E1622E9"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78 %</w:t>
            </w:r>
          </w:p>
        </w:tc>
        <w:tc>
          <w:tcPr>
            <w:tcW w:w="666" w:type="pct"/>
            <w:vAlign w:val="center"/>
            <w:hideMark/>
          </w:tcPr>
          <w:p w14:paraId="724618A3"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80 %</w:t>
            </w:r>
          </w:p>
        </w:tc>
        <w:tc>
          <w:tcPr>
            <w:tcW w:w="666" w:type="pct"/>
            <w:vAlign w:val="center"/>
            <w:hideMark/>
          </w:tcPr>
          <w:p w14:paraId="062C16CF"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94 %</w:t>
            </w:r>
          </w:p>
        </w:tc>
        <w:tc>
          <w:tcPr>
            <w:tcW w:w="666" w:type="pct"/>
            <w:vAlign w:val="center"/>
            <w:hideMark/>
          </w:tcPr>
          <w:p w14:paraId="6473C4C2"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97,2 %</w:t>
            </w:r>
          </w:p>
        </w:tc>
      </w:tr>
      <w:tr w:rsidR="008D4204" w:rsidRPr="008D4204" w14:paraId="2B470902" w14:textId="77777777" w:rsidTr="00A925B3">
        <w:trPr>
          <w:trHeight w:val="360"/>
        </w:trPr>
        <w:tc>
          <w:tcPr>
            <w:tcW w:w="1000" w:type="pct"/>
            <w:shd w:val="clear" w:color="auto" w:fill="F2F2F2" w:themeFill="background1" w:themeFillShade="F2"/>
            <w:vAlign w:val="center"/>
            <w:hideMark/>
          </w:tcPr>
          <w:p w14:paraId="4A557726"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Royaume-Uni</w:t>
            </w:r>
          </w:p>
        </w:tc>
        <w:tc>
          <w:tcPr>
            <w:tcW w:w="666" w:type="pct"/>
            <w:vAlign w:val="center"/>
            <w:hideMark/>
          </w:tcPr>
          <w:p w14:paraId="4BC8DB19"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18 %</w:t>
            </w:r>
          </w:p>
        </w:tc>
        <w:tc>
          <w:tcPr>
            <w:tcW w:w="666" w:type="pct"/>
            <w:vAlign w:val="center"/>
            <w:hideMark/>
          </w:tcPr>
          <w:p w14:paraId="738A364E"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63 %</w:t>
            </w:r>
          </w:p>
        </w:tc>
        <w:tc>
          <w:tcPr>
            <w:tcW w:w="666" w:type="pct"/>
            <w:vAlign w:val="center"/>
            <w:hideMark/>
          </w:tcPr>
          <w:p w14:paraId="18524194"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84 %</w:t>
            </w:r>
          </w:p>
        </w:tc>
        <w:tc>
          <w:tcPr>
            <w:tcW w:w="666" w:type="pct"/>
            <w:vAlign w:val="center"/>
            <w:hideMark/>
          </w:tcPr>
          <w:p w14:paraId="26AA8C54"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90 %</w:t>
            </w:r>
          </w:p>
        </w:tc>
        <w:tc>
          <w:tcPr>
            <w:tcW w:w="666" w:type="pct"/>
            <w:vAlign w:val="center"/>
            <w:hideMark/>
          </w:tcPr>
          <w:p w14:paraId="77D649E1"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98 %</w:t>
            </w:r>
          </w:p>
        </w:tc>
        <w:tc>
          <w:tcPr>
            <w:tcW w:w="666" w:type="pct"/>
            <w:vAlign w:val="center"/>
            <w:hideMark/>
          </w:tcPr>
          <w:p w14:paraId="72DD34FF"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99,5 %</w:t>
            </w:r>
          </w:p>
        </w:tc>
      </w:tr>
      <w:tr w:rsidR="008D4204" w:rsidRPr="008D4204" w14:paraId="26D916AE" w14:textId="77777777" w:rsidTr="00A925B3">
        <w:trPr>
          <w:trHeight w:val="360"/>
        </w:trPr>
        <w:tc>
          <w:tcPr>
            <w:tcW w:w="1000" w:type="pct"/>
            <w:shd w:val="clear" w:color="auto" w:fill="F2F2F2" w:themeFill="background1" w:themeFillShade="F2"/>
            <w:vAlign w:val="center"/>
            <w:hideMark/>
          </w:tcPr>
          <w:p w14:paraId="5F315AA1"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b/>
                <w:bCs/>
                <w:sz w:val="24"/>
                <w:szCs w:val="24"/>
                <w:lang w:eastAsia="fr-FR"/>
              </w:rPr>
              <w:t>Pologne</w:t>
            </w:r>
          </w:p>
        </w:tc>
        <w:tc>
          <w:tcPr>
            <w:tcW w:w="666" w:type="pct"/>
            <w:vAlign w:val="center"/>
            <w:hideMark/>
          </w:tcPr>
          <w:p w14:paraId="036EC894"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50 %</w:t>
            </w:r>
          </w:p>
        </w:tc>
        <w:tc>
          <w:tcPr>
            <w:tcW w:w="666" w:type="pct"/>
            <w:vAlign w:val="center"/>
            <w:hideMark/>
          </w:tcPr>
          <w:p w14:paraId="4C11936E"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55 %</w:t>
            </w:r>
          </w:p>
        </w:tc>
        <w:tc>
          <w:tcPr>
            <w:tcW w:w="666" w:type="pct"/>
            <w:vAlign w:val="center"/>
            <w:hideMark/>
          </w:tcPr>
          <w:p w14:paraId="5951CF9B"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66 %</w:t>
            </w:r>
          </w:p>
        </w:tc>
        <w:tc>
          <w:tcPr>
            <w:tcW w:w="666" w:type="pct"/>
            <w:vAlign w:val="center"/>
            <w:hideMark/>
          </w:tcPr>
          <w:p w14:paraId="329655AF"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76 %</w:t>
            </w:r>
          </w:p>
        </w:tc>
        <w:tc>
          <w:tcPr>
            <w:tcW w:w="666" w:type="pct"/>
            <w:vAlign w:val="center"/>
            <w:hideMark/>
          </w:tcPr>
          <w:p w14:paraId="4C61F563"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96 %</w:t>
            </w:r>
          </w:p>
        </w:tc>
        <w:tc>
          <w:tcPr>
            <w:tcW w:w="666" w:type="pct"/>
            <w:vAlign w:val="center"/>
            <w:hideMark/>
          </w:tcPr>
          <w:p w14:paraId="650FB67F" w14:textId="77777777" w:rsidR="008D4204" w:rsidRPr="008D4204" w:rsidRDefault="008D4204" w:rsidP="008D4204">
            <w:pPr>
              <w:spacing w:after="0" w:line="240" w:lineRule="auto"/>
              <w:jc w:val="center"/>
              <w:rPr>
                <w:rFonts w:eastAsia="Times New Roman" w:cstheme="minorHAnsi"/>
                <w:sz w:val="24"/>
                <w:szCs w:val="24"/>
                <w:lang w:eastAsia="fr-FR"/>
              </w:rPr>
            </w:pPr>
            <w:r w:rsidRPr="008D4204">
              <w:rPr>
                <w:rFonts w:eastAsia="Times New Roman" w:cstheme="minorHAnsi"/>
                <w:sz w:val="24"/>
                <w:szCs w:val="24"/>
                <w:lang w:eastAsia="fr-FR"/>
              </w:rPr>
              <w:t>98,5 %</w:t>
            </w:r>
          </w:p>
        </w:tc>
      </w:tr>
    </w:tbl>
    <w:p w14:paraId="7147E44E" w14:textId="77777777" w:rsidR="008D4204" w:rsidRPr="00A925B3" w:rsidRDefault="008D4204" w:rsidP="00A925B3">
      <w:pPr>
        <w:spacing w:before="100" w:beforeAutospacing="1" w:after="100" w:afterAutospacing="1" w:line="240" w:lineRule="auto"/>
        <w:rPr>
          <w:rFonts w:eastAsia="Times New Roman" w:cstheme="minorHAnsi"/>
          <w:sz w:val="32"/>
          <w:szCs w:val="32"/>
          <w:lang w:eastAsia="fr-FR"/>
        </w:rPr>
      </w:pPr>
      <w:r w:rsidRPr="00A925B3">
        <w:rPr>
          <w:rFonts w:eastAsia="Times New Roman" w:cstheme="minorHAnsi"/>
          <w:sz w:val="24"/>
          <w:szCs w:val="24"/>
          <w:lang w:eastAsia="fr-FR"/>
        </w:rPr>
        <w:t>Source : Commission européenne.</w:t>
      </w:r>
    </w:p>
    <w:p w14:paraId="6E0E6F08" w14:textId="3864C1EB" w:rsidR="008D4204" w:rsidRPr="008D4204" w:rsidRDefault="008D4204" w:rsidP="00A925B3">
      <w:pPr>
        <w:pStyle w:val="Titre2"/>
      </w:pPr>
      <w:r w:rsidRPr="008D4204">
        <w:t>1.4 …et une progression très rapide de la pénétration 4G.</w:t>
      </w:r>
    </w:p>
    <w:p w14:paraId="573497F9" w14:textId="32721A8C" w:rsidR="008D4204" w:rsidRPr="008D4204" w:rsidRDefault="008D4204" w:rsidP="00A925B3">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À mi-2018, 44,7 millions de clients actifs 4G, soit 6 clients mobile sur 10</w:t>
      </w:r>
      <w:r w:rsidR="00A925B3">
        <w:rPr>
          <w:rFonts w:eastAsia="Times New Roman" w:cstheme="minorHAnsi"/>
          <w:sz w:val="24"/>
          <w:szCs w:val="24"/>
          <w:lang w:eastAsia="fr-FR"/>
        </w:rPr>
        <w:t xml:space="preserve"> (</w:t>
      </w:r>
      <w:r w:rsidR="00A925B3" w:rsidRPr="008D4204">
        <w:rPr>
          <w:rFonts w:eastAsia="Times New Roman" w:cstheme="minorHAnsi"/>
          <w:sz w:val="24"/>
          <w:szCs w:val="24"/>
          <w:lang w:eastAsia="fr-FR"/>
        </w:rPr>
        <w:t>Hors M2M</w:t>
      </w:r>
      <w:r w:rsidR="00A925B3">
        <w:rPr>
          <w:rFonts w:eastAsia="Times New Roman" w:cstheme="minorHAnsi"/>
          <w:sz w:val="24"/>
          <w:szCs w:val="24"/>
          <w:lang w:eastAsia="fr-FR"/>
        </w:rPr>
        <w:t xml:space="preserve">, </w:t>
      </w:r>
      <w:r w:rsidR="00A925B3" w:rsidRPr="008D4204">
        <w:rPr>
          <w:rFonts w:eastAsia="Times New Roman" w:cstheme="minorHAnsi"/>
          <w:i/>
          <w:iCs/>
          <w:sz w:val="24"/>
          <w:szCs w:val="24"/>
          <w:lang w:eastAsia="fr-FR"/>
        </w:rPr>
        <w:t>Machine To Machine</w:t>
      </w:r>
      <w:r w:rsidR="00A925B3" w:rsidRPr="008D4204">
        <w:rPr>
          <w:rFonts w:eastAsia="Times New Roman" w:cstheme="minorHAnsi"/>
          <w:sz w:val="24"/>
          <w:szCs w:val="24"/>
          <w:lang w:eastAsia="fr-FR"/>
        </w:rPr>
        <w:t>)</w:t>
      </w:r>
      <w:r w:rsidRPr="008D4204">
        <w:rPr>
          <w:rFonts w:eastAsia="Times New Roman" w:cstheme="minorHAnsi"/>
          <w:sz w:val="24"/>
          <w:szCs w:val="24"/>
          <w:lang w:eastAsia="fr-FR"/>
        </w:rPr>
        <w:t>, un des taux les plus élevés parmi les grands pays européens.</w:t>
      </w:r>
      <w:r w:rsidR="00A925B3">
        <w:rPr>
          <w:rFonts w:eastAsia="Times New Roman" w:cstheme="minorHAnsi"/>
          <w:sz w:val="24"/>
          <w:szCs w:val="24"/>
          <w:lang w:eastAsia="fr-FR"/>
        </w:rPr>
        <w:t xml:space="preserve"> </w:t>
      </w:r>
      <w:r w:rsidRPr="008D4204">
        <w:rPr>
          <w:rFonts w:eastAsia="Times New Roman" w:cstheme="minorHAnsi"/>
          <w:sz w:val="24"/>
          <w:szCs w:val="24"/>
          <w:lang w:eastAsia="fr-FR"/>
        </w:rPr>
        <w:t>Parc de clients 4G en France (en millions) :</w:t>
      </w:r>
    </w:p>
    <w:p w14:paraId="17B70081"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2012 :</w:t>
      </w:r>
      <w:r w:rsidRPr="008D4204">
        <w:rPr>
          <w:rFonts w:eastAsia="Times New Roman" w:cstheme="minorHAnsi"/>
          <w:sz w:val="24"/>
          <w:szCs w:val="24"/>
          <w:lang w:eastAsia="fr-FR"/>
        </w:rPr>
        <w:t xml:space="preserve"> 0 million ;</w:t>
      </w:r>
    </w:p>
    <w:p w14:paraId="629B0E8E" w14:textId="77777777" w:rsidR="008D4204" w:rsidRPr="008D4204" w:rsidRDefault="008D4204" w:rsidP="00A925B3">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2013 :</w:t>
      </w:r>
      <w:r w:rsidRPr="008D4204">
        <w:rPr>
          <w:rFonts w:eastAsia="Times New Roman" w:cstheme="minorHAnsi"/>
          <w:sz w:val="24"/>
          <w:szCs w:val="24"/>
          <w:lang w:eastAsia="fr-FR"/>
        </w:rPr>
        <w:t xml:space="preserve"> 1 million ;</w:t>
      </w:r>
    </w:p>
    <w:p w14:paraId="718A588A"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2013 :</w:t>
      </w:r>
      <w:r w:rsidRPr="008D4204">
        <w:rPr>
          <w:rFonts w:eastAsia="Times New Roman" w:cstheme="minorHAnsi"/>
          <w:sz w:val="24"/>
          <w:szCs w:val="24"/>
          <w:lang w:eastAsia="fr-FR"/>
        </w:rPr>
        <w:t xml:space="preserve"> 3 millions ;</w:t>
      </w:r>
    </w:p>
    <w:p w14:paraId="6373A91B"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2014 :</w:t>
      </w:r>
      <w:r w:rsidRPr="008D4204">
        <w:rPr>
          <w:rFonts w:eastAsia="Times New Roman" w:cstheme="minorHAnsi"/>
          <w:sz w:val="24"/>
          <w:szCs w:val="24"/>
          <w:lang w:eastAsia="fr-FR"/>
        </w:rPr>
        <w:t xml:space="preserve"> 5 millions ;</w:t>
      </w:r>
    </w:p>
    <w:p w14:paraId="672B5E20"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2014 :</w:t>
      </w:r>
      <w:r w:rsidRPr="008D4204">
        <w:rPr>
          <w:rFonts w:eastAsia="Times New Roman" w:cstheme="minorHAnsi"/>
          <w:sz w:val="24"/>
          <w:szCs w:val="24"/>
          <w:lang w:eastAsia="fr-FR"/>
        </w:rPr>
        <w:t xml:space="preserve"> 11 millions ;</w:t>
      </w:r>
    </w:p>
    <w:p w14:paraId="05C6F25B"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2015 :</w:t>
      </w:r>
      <w:r w:rsidRPr="008D4204">
        <w:rPr>
          <w:rFonts w:eastAsia="Times New Roman" w:cstheme="minorHAnsi"/>
          <w:sz w:val="24"/>
          <w:szCs w:val="24"/>
          <w:lang w:eastAsia="fr-FR"/>
        </w:rPr>
        <w:t xml:space="preserve"> 16 millions ;</w:t>
      </w:r>
    </w:p>
    <w:p w14:paraId="3C4C42C8"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2015 :</w:t>
      </w:r>
      <w:r w:rsidRPr="008D4204">
        <w:rPr>
          <w:rFonts w:eastAsia="Times New Roman" w:cstheme="minorHAnsi"/>
          <w:sz w:val="24"/>
          <w:szCs w:val="24"/>
          <w:lang w:eastAsia="fr-FR"/>
        </w:rPr>
        <w:t xml:space="preserve"> 23 millions ;</w:t>
      </w:r>
    </w:p>
    <w:p w14:paraId="54AAD590"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2016 :</w:t>
      </w:r>
      <w:r w:rsidRPr="008D4204">
        <w:rPr>
          <w:rFonts w:eastAsia="Times New Roman" w:cstheme="minorHAnsi"/>
          <w:sz w:val="24"/>
          <w:szCs w:val="24"/>
          <w:lang w:eastAsia="fr-FR"/>
        </w:rPr>
        <w:t xml:space="preserve"> 27 millions ;</w:t>
      </w:r>
    </w:p>
    <w:p w14:paraId="38CFC629"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2016 :</w:t>
      </w:r>
      <w:r w:rsidRPr="008D4204">
        <w:rPr>
          <w:rFonts w:eastAsia="Times New Roman" w:cstheme="minorHAnsi"/>
          <w:sz w:val="24"/>
          <w:szCs w:val="24"/>
          <w:lang w:eastAsia="fr-FR"/>
        </w:rPr>
        <w:t xml:space="preserve"> 33 millions ;</w:t>
      </w:r>
    </w:p>
    <w:p w14:paraId="15F1EC5D"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2017 :</w:t>
      </w:r>
      <w:r w:rsidRPr="008D4204">
        <w:rPr>
          <w:rFonts w:eastAsia="Times New Roman" w:cstheme="minorHAnsi"/>
          <w:sz w:val="24"/>
          <w:szCs w:val="24"/>
          <w:lang w:eastAsia="fr-FR"/>
        </w:rPr>
        <w:t xml:space="preserve"> 37 millions ;</w:t>
      </w:r>
    </w:p>
    <w:p w14:paraId="7D055A9D"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Fin 2017 :</w:t>
      </w:r>
      <w:r w:rsidRPr="008D4204">
        <w:rPr>
          <w:rFonts w:eastAsia="Times New Roman" w:cstheme="minorHAnsi"/>
          <w:sz w:val="24"/>
          <w:szCs w:val="24"/>
          <w:lang w:eastAsia="fr-FR"/>
        </w:rPr>
        <w:t xml:space="preserve"> 42 millions ;</w:t>
      </w:r>
    </w:p>
    <w:p w14:paraId="51722707" w14:textId="77777777" w:rsidR="008D4204" w:rsidRPr="008D4204" w:rsidRDefault="008D4204" w:rsidP="008D4204">
      <w:pPr>
        <w:numPr>
          <w:ilvl w:val="0"/>
          <w:numId w:val="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Mi 2018 :</w:t>
      </w:r>
      <w:r w:rsidRPr="008D4204">
        <w:rPr>
          <w:rFonts w:eastAsia="Times New Roman" w:cstheme="minorHAnsi"/>
          <w:sz w:val="24"/>
          <w:szCs w:val="24"/>
          <w:lang w:eastAsia="fr-FR"/>
        </w:rPr>
        <w:t xml:space="preserve"> 45 millions.</w:t>
      </w:r>
    </w:p>
    <w:p w14:paraId="23502A43" w14:textId="77777777" w:rsidR="008D4204" w:rsidRPr="00712DEF" w:rsidRDefault="008D4204" w:rsidP="008D4204">
      <w:pPr>
        <w:spacing w:before="100" w:beforeAutospacing="1" w:after="100" w:afterAutospacing="1" w:line="240" w:lineRule="auto"/>
        <w:rPr>
          <w:rFonts w:eastAsia="Times New Roman" w:cstheme="minorHAnsi"/>
          <w:sz w:val="32"/>
          <w:szCs w:val="32"/>
          <w:lang w:eastAsia="fr-FR"/>
        </w:rPr>
      </w:pPr>
      <w:r w:rsidRPr="00712DEF">
        <w:rPr>
          <w:rFonts w:eastAsia="Times New Roman" w:cstheme="minorHAnsi"/>
          <w:sz w:val="24"/>
          <w:szCs w:val="24"/>
          <w:lang w:eastAsia="fr-FR"/>
        </w:rPr>
        <w:t>Source : Arcep.</w:t>
      </w:r>
    </w:p>
    <w:p w14:paraId="55720356"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lastRenderedPageBreak/>
        <w:t>Part des clients 4G dans les parcs mobile (hors M2M), à fin 2017 :</w:t>
      </w:r>
    </w:p>
    <w:p w14:paraId="11F6E086" w14:textId="77777777" w:rsidR="008D4204" w:rsidRPr="008D4204" w:rsidRDefault="008D4204" w:rsidP="008D4204">
      <w:pPr>
        <w:numPr>
          <w:ilvl w:val="0"/>
          <w:numId w:val="6"/>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Royaume-Uni :</w:t>
      </w:r>
      <w:r w:rsidRPr="008D4204">
        <w:rPr>
          <w:rFonts w:eastAsia="Times New Roman" w:cstheme="minorHAnsi"/>
          <w:sz w:val="24"/>
          <w:szCs w:val="24"/>
          <w:lang w:eastAsia="fr-FR"/>
        </w:rPr>
        <w:t xml:space="preserve"> 64,9 % ;</w:t>
      </w:r>
    </w:p>
    <w:p w14:paraId="471025D5" w14:textId="77777777" w:rsidR="008D4204" w:rsidRPr="008D4204" w:rsidRDefault="008D4204" w:rsidP="008D4204">
      <w:pPr>
        <w:numPr>
          <w:ilvl w:val="0"/>
          <w:numId w:val="6"/>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France :</w:t>
      </w:r>
      <w:r w:rsidRPr="008D4204">
        <w:rPr>
          <w:rFonts w:eastAsia="Times New Roman" w:cstheme="minorHAnsi"/>
          <w:sz w:val="24"/>
          <w:szCs w:val="24"/>
          <w:lang w:eastAsia="fr-FR"/>
        </w:rPr>
        <w:t xml:space="preserve"> 55,8 % ;</w:t>
      </w:r>
    </w:p>
    <w:p w14:paraId="51883C36" w14:textId="77777777" w:rsidR="008D4204" w:rsidRPr="008D4204" w:rsidRDefault="008D4204" w:rsidP="008D4204">
      <w:pPr>
        <w:numPr>
          <w:ilvl w:val="0"/>
          <w:numId w:val="6"/>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Espagne :</w:t>
      </w:r>
      <w:r w:rsidRPr="008D4204">
        <w:rPr>
          <w:rFonts w:eastAsia="Times New Roman" w:cstheme="minorHAnsi"/>
          <w:sz w:val="24"/>
          <w:szCs w:val="24"/>
          <w:lang w:eastAsia="fr-FR"/>
        </w:rPr>
        <w:t xml:space="preserve"> 53,8 % ;</w:t>
      </w:r>
    </w:p>
    <w:p w14:paraId="727AC9AB" w14:textId="77777777" w:rsidR="008D4204" w:rsidRPr="008D4204" w:rsidRDefault="008D4204" w:rsidP="008D4204">
      <w:pPr>
        <w:numPr>
          <w:ilvl w:val="0"/>
          <w:numId w:val="6"/>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Allemagne :</w:t>
      </w:r>
      <w:r w:rsidRPr="008D4204">
        <w:rPr>
          <w:rFonts w:eastAsia="Times New Roman" w:cstheme="minorHAnsi"/>
          <w:sz w:val="24"/>
          <w:szCs w:val="24"/>
          <w:lang w:eastAsia="fr-FR"/>
        </w:rPr>
        <w:t xml:space="preserve"> 45,1 % ;</w:t>
      </w:r>
    </w:p>
    <w:p w14:paraId="6B978E18" w14:textId="77777777" w:rsidR="008D4204" w:rsidRPr="008D4204" w:rsidRDefault="008D4204" w:rsidP="008D4204">
      <w:pPr>
        <w:numPr>
          <w:ilvl w:val="0"/>
          <w:numId w:val="6"/>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Italie :</w:t>
      </w:r>
      <w:r w:rsidRPr="008D4204">
        <w:rPr>
          <w:rFonts w:eastAsia="Times New Roman" w:cstheme="minorHAnsi"/>
          <w:sz w:val="24"/>
          <w:szCs w:val="24"/>
          <w:lang w:eastAsia="fr-FR"/>
        </w:rPr>
        <w:t xml:space="preserve"> 33,3 % ;</w:t>
      </w:r>
    </w:p>
    <w:p w14:paraId="30331AFE" w14:textId="77777777" w:rsidR="008D4204" w:rsidRPr="008D4204" w:rsidRDefault="008D4204" w:rsidP="008D4204">
      <w:pPr>
        <w:numPr>
          <w:ilvl w:val="0"/>
          <w:numId w:val="6"/>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Pologne :</w:t>
      </w:r>
      <w:r w:rsidRPr="008D4204">
        <w:rPr>
          <w:rFonts w:eastAsia="Times New Roman" w:cstheme="minorHAnsi"/>
          <w:sz w:val="24"/>
          <w:szCs w:val="24"/>
          <w:lang w:eastAsia="fr-FR"/>
        </w:rPr>
        <w:t xml:space="preserve"> 19,4 %.</w:t>
      </w:r>
    </w:p>
    <w:p w14:paraId="339F47E2" w14:textId="77777777" w:rsidR="008D4204" w:rsidRPr="00712DEF" w:rsidRDefault="008D4204" w:rsidP="008D4204">
      <w:pPr>
        <w:spacing w:before="100" w:beforeAutospacing="1" w:after="100" w:afterAutospacing="1" w:line="240" w:lineRule="auto"/>
        <w:rPr>
          <w:rFonts w:eastAsia="Times New Roman" w:cstheme="minorHAnsi"/>
          <w:sz w:val="32"/>
          <w:szCs w:val="32"/>
          <w:lang w:eastAsia="fr-FR"/>
        </w:rPr>
      </w:pPr>
      <w:r w:rsidRPr="00712DEF">
        <w:rPr>
          <w:rFonts w:eastAsia="Times New Roman" w:cstheme="minorHAnsi"/>
          <w:sz w:val="24"/>
          <w:szCs w:val="24"/>
          <w:lang w:eastAsia="fr-FR"/>
        </w:rPr>
        <w:t>Source : IDATE.</w:t>
      </w:r>
    </w:p>
    <w:p w14:paraId="00957921" w14:textId="77777777" w:rsidR="008D4204" w:rsidRPr="008D4204" w:rsidRDefault="008D4204" w:rsidP="00712DEF">
      <w:pPr>
        <w:pStyle w:val="Titre2"/>
      </w:pPr>
      <w:r w:rsidRPr="008D4204">
        <w:t>1.5 Dans l’internet des objets, l’un des plus grands parcs M2M en Europe.</w:t>
      </w:r>
    </w:p>
    <w:p w14:paraId="01549A2B"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Parcs M2M dans les grands pays européens, à fin 2017 (en millions de cartes) :</w:t>
      </w:r>
    </w:p>
    <w:p w14:paraId="25AB196C" w14:textId="77777777" w:rsidR="008D4204" w:rsidRPr="008D4204" w:rsidRDefault="008D4204" w:rsidP="008D4204">
      <w:pPr>
        <w:numPr>
          <w:ilvl w:val="0"/>
          <w:numId w:val="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Allemagne :</w:t>
      </w:r>
      <w:r w:rsidRPr="008D4204">
        <w:rPr>
          <w:rFonts w:eastAsia="Times New Roman" w:cstheme="minorHAnsi"/>
          <w:sz w:val="24"/>
          <w:szCs w:val="24"/>
          <w:lang w:eastAsia="fr-FR"/>
        </w:rPr>
        <w:t xml:space="preserve"> 17,6 millions ;</w:t>
      </w:r>
    </w:p>
    <w:p w14:paraId="2FFB133F" w14:textId="77777777" w:rsidR="008D4204" w:rsidRPr="008D4204" w:rsidRDefault="008D4204" w:rsidP="008D4204">
      <w:pPr>
        <w:numPr>
          <w:ilvl w:val="0"/>
          <w:numId w:val="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Italie :</w:t>
      </w:r>
      <w:r w:rsidRPr="008D4204">
        <w:rPr>
          <w:rFonts w:eastAsia="Times New Roman" w:cstheme="minorHAnsi"/>
          <w:sz w:val="24"/>
          <w:szCs w:val="24"/>
          <w:lang w:eastAsia="fr-FR"/>
        </w:rPr>
        <w:t xml:space="preserve"> 16,3 millions ;</w:t>
      </w:r>
    </w:p>
    <w:p w14:paraId="4E1E1C42" w14:textId="77777777" w:rsidR="008D4204" w:rsidRPr="008D4204" w:rsidRDefault="008D4204" w:rsidP="008D4204">
      <w:pPr>
        <w:numPr>
          <w:ilvl w:val="0"/>
          <w:numId w:val="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France :</w:t>
      </w:r>
      <w:r w:rsidRPr="008D4204">
        <w:rPr>
          <w:rFonts w:eastAsia="Times New Roman" w:cstheme="minorHAnsi"/>
          <w:sz w:val="24"/>
          <w:szCs w:val="24"/>
          <w:lang w:eastAsia="fr-FR"/>
        </w:rPr>
        <w:t xml:space="preserve"> 14,9 millions ;</w:t>
      </w:r>
    </w:p>
    <w:p w14:paraId="742EF34B" w14:textId="77777777" w:rsidR="008D4204" w:rsidRPr="008D4204" w:rsidRDefault="008D4204" w:rsidP="008D4204">
      <w:pPr>
        <w:numPr>
          <w:ilvl w:val="0"/>
          <w:numId w:val="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Royaume-Uni :</w:t>
      </w:r>
      <w:r w:rsidRPr="008D4204">
        <w:rPr>
          <w:rFonts w:eastAsia="Times New Roman" w:cstheme="minorHAnsi"/>
          <w:sz w:val="24"/>
          <w:szCs w:val="24"/>
          <w:lang w:eastAsia="fr-FR"/>
        </w:rPr>
        <w:t xml:space="preserve"> 8,6 millions ;</w:t>
      </w:r>
    </w:p>
    <w:p w14:paraId="48386833" w14:textId="77777777" w:rsidR="008D4204" w:rsidRPr="008D4204" w:rsidRDefault="008D4204" w:rsidP="008D4204">
      <w:pPr>
        <w:numPr>
          <w:ilvl w:val="0"/>
          <w:numId w:val="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Espagne :</w:t>
      </w:r>
      <w:r w:rsidRPr="008D4204">
        <w:rPr>
          <w:rFonts w:eastAsia="Times New Roman" w:cstheme="minorHAnsi"/>
          <w:sz w:val="24"/>
          <w:szCs w:val="24"/>
          <w:lang w:eastAsia="fr-FR"/>
        </w:rPr>
        <w:t xml:space="preserve"> 4,9 millions ;</w:t>
      </w:r>
    </w:p>
    <w:p w14:paraId="3702525B" w14:textId="77777777" w:rsidR="008D4204" w:rsidRPr="008D4204" w:rsidRDefault="008D4204" w:rsidP="008D4204">
      <w:pPr>
        <w:numPr>
          <w:ilvl w:val="0"/>
          <w:numId w:val="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Pologne :</w:t>
      </w:r>
      <w:r w:rsidRPr="008D4204">
        <w:rPr>
          <w:rFonts w:eastAsia="Times New Roman" w:cstheme="minorHAnsi"/>
          <w:sz w:val="24"/>
          <w:szCs w:val="24"/>
          <w:lang w:eastAsia="fr-FR"/>
        </w:rPr>
        <w:t xml:space="preserve"> 3,5 millions.</w:t>
      </w:r>
    </w:p>
    <w:p w14:paraId="6F1E4120" w14:textId="77777777" w:rsidR="008D4204" w:rsidRPr="00712DEF" w:rsidRDefault="008D4204" w:rsidP="008D4204">
      <w:pPr>
        <w:spacing w:before="100" w:beforeAutospacing="1" w:after="100" w:afterAutospacing="1" w:line="240" w:lineRule="auto"/>
        <w:rPr>
          <w:rFonts w:eastAsia="Times New Roman" w:cstheme="minorHAnsi"/>
          <w:sz w:val="32"/>
          <w:szCs w:val="32"/>
          <w:lang w:eastAsia="fr-FR"/>
        </w:rPr>
      </w:pPr>
      <w:r w:rsidRPr="00712DEF">
        <w:rPr>
          <w:rFonts w:eastAsia="Times New Roman" w:cstheme="minorHAnsi"/>
          <w:sz w:val="24"/>
          <w:szCs w:val="24"/>
          <w:lang w:eastAsia="fr-FR"/>
        </w:rPr>
        <w:t>Source : IDATE d'après régulateurs.</w:t>
      </w:r>
    </w:p>
    <w:p w14:paraId="76B5612E" w14:textId="77777777" w:rsidR="008D4204" w:rsidRPr="008D4204" w:rsidRDefault="008D4204" w:rsidP="00712DEF">
      <w:pPr>
        <w:pStyle w:val="Titre2"/>
      </w:pPr>
      <w:r w:rsidRPr="008D4204">
        <w:t xml:space="preserve">1.6 Convergence : une avance en </w:t>
      </w:r>
      <w:proofErr w:type="spellStart"/>
      <w:r w:rsidRPr="008D4204">
        <w:t>VoIP</w:t>
      </w:r>
      <w:proofErr w:type="spellEnd"/>
      <w:r w:rsidRPr="008D4204">
        <w:t>…</w:t>
      </w:r>
    </w:p>
    <w:p w14:paraId="62C90E6C" w14:textId="17891DF2"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 xml:space="preserve">28,4 millions d’abonnés </w:t>
      </w:r>
      <w:proofErr w:type="spellStart"/>
      <w:r w:rsidRPr="008D4204">
        <w:rPr>
          <w:rFonts w:eastAsia="Times New Roman" w:cstheme="minorHAnsi"/>
          <w:sz w:val="24"/>
          <w:szCs w:val="24"/>
          <w:lang w:eastAsia="fr-FR"/>
        </w:rPr>
        <w:t>VoIP</w:t>
      </w:r>
      <w:proofErr w:type="spellEnd"/>
      <w:r w:rsidRPr="008D4204">
        <w:rPr>
          <w:rFonts w:eastAsia="Times New Roman" w:cstheme="minorHAnsi"/>
          <w:sz w:val="24"/>
          <w:szCs w:val="24"/>
          <w:lang w:eastAsia="fr-FR"/>
        </w:rPr>
        <w:t xml:space="preserve"> en France à fin 2017 (et 440 000 supplémentaires au cours des 6 premiers mois 2018), soit la quasi-totalité du parc haut débit.</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 xml:space="preserve">Parc d’abonnés </w:t>
      </w:r>
      <w:proofErr w:type="spellStart"/>
      <w:r w:rsidRPr="008D4204">
        <w:rPr>
          <w:rFonts w:eastAsia="Times New Roman" w:cstheme="minorHAnsi"/>
          <w:sz w:val="24"/>
          <w:szCs w:val="24"/>
          <w:lang w:eastAsia="fr-FR"/>
        </w:rPr>
        <w:t>VoIP</w:t>
      </w:r>
      <w:proofErr w:type="spellEnd"/>
      <w:r w:rsidRPr="008D4204">
        <w:rPr>
          <w:rFonts w:eastAsia="Times New Roman" w:cstheme="minorHAnsi"/>
          <w:sz w:val="24"/>
          <w:szCs w:val="24"/>
          <w:lang w:eastAsia="fr-FR"/>
        </w:rPr>
        <w:t xml:space="preserve"> managée* dans les grands pays européens à fin 2017 :</w:t>
      </w:r>
    </w:p>
    <w:p w14:paraId="563B3CD2" w14:textId="77777777" w:rsidR="008D4204" w:rsidRPr="008D4204" w:rsidRDefault="008D4204" w:rsidP="008D4204">
      <w:pPr>
        <w:numPr>
          <w:ilvl w:val="0"/>
          <w:numId w:val="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Allemagne :</w:t>
      </w:r>
      <w:r w:rsidRPr="008D4204">
        <w:rPr>
          <w:rFonts w:eastAsia="Times New Roman" w:cstheme="minorHAnsi"/>
          <w:sz w:val="24"/>
          <w:szCs w:val="24"/>
          <w:lang w:eastAsia="fr-FR"/>
        </w:rPr>
        <w:t xml:space="preserve"> 29,5 ;</w:t>
      </w:r>
    </w:p>
    <w:p w14:paraId="39991A3C" w14:textId="77777777" w:rsidR="008D4204" w:rsidRPr="008D4204" w:rsidRDefault="008D4204" w:rsidP="008D4204">
      <w:pPr>
        <w:numPr>
          <w:ilvl w:val="0"/>
          <w:numId w:val="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France :</w:t>
      </w:r>
      <w:r w:rsidRPr="008D4204">
        <w:rPr>
          <w:rFonts w:eastAsia="Times New Roman" w:cstheme="minorHAnsi"/>
          <w:sz w:val="24"/>
          <w:szCs w:val="24"/>
          <w:lang w:eastAsia="fr-FR"/>
        </w:rPr>
        <w:t xml:space="preserve"> 28,4 ;</w:t>
      </w:r>
    </w:p>
    <w:p w14:paraId="41903063" w14:textId="77777777" w:rsidR="008D4204" w:rsidRPr="008D4204" w:rsidRDefault="008D4204" w:rsidP="008D4204">
      <w:pPr>
        <w:numPr>
          <w:ilvl w:val="0"/>
          <w:numId w:val="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Pologne :</w:t>
      </w:r>
      <w:r w:rsidRPr="008D4204">
        <w:rPr>
          <w:rFonts w:eastAsia="Times New Roman" w:cstheme="minorHAnsi"/>
          <w:sz w:val="24"/>
          <w:szCs w:val="24"/>
          <w:lang w:eastAsia="fr-FR"/>
        </w:rPr>
        <w:t xml:space="preserve"> 7,9 ;</w:t>
      </w:r>
    </w:p>
    <w:p w14:paraId="539D0F78" w14:textId="77777777" w:rsidR="008D4204" w:rsidRPr="008D4204" w:rsidRDefault="008D4204" w:rsidP="008D4204">
      <w:pPr>
        <w:numPr>
          <w:ilvl w:val="0"/>
          <w:numId w:val="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Espagne :</w:t>
      </w:r>
      <w:r w:rsidRPr="008D4204">
        <w:rPr>
          <w:rFonts w:eastAsia="Times New Roman" w:cstheme="minorHAnsi"/>
          <w:sz w:val="24"/>
          <w:szCs w:val="24"/>
          <w:lang w:eastAsia="fr-FR"/>
        </w:rPr>
        <w:t xml:space="preserve"> 6,8 ;</w:t>
      </w:r>
    </w:p>
    <w:p w14:paraId="4B674FB3" w14:textId="77777777" w:rsidR="008D4204" w:rsidRPr="008D4204" w:rsidRDefault="008D4204" w:rsidP="008D4204">
      <w:pPr>
        <w:numPr>
          <w:ilvl w:val="0"/>
          <w:numId w:val="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Italie :</w:t>
      </w:r>
      <w:r w:rsidRPr="008D4204">
        <w:rPr>
          <w:rFonts w:eastAsia="Times New Roman" w:cstheme="minorHAnsi"/>
          <w:sz w:val="24"/>
          <w:szCs w:val="24"/>
          <w:lang w:eastAsia="fr-FR"/>
        </w:rPr>
        <w:t xml:space="preserve"> 5,1 ;</w:t>
      </w:r>
    </w:p>
    <w:p w14:paraId="55696F73" w14:textId="77777777" w:rsidR="008D4204" w:rsidRPr="008D4204" w:rsidRDefault="008D4204" w:rsidP="008D4204">
      <w:pPr>
        <w:numPr>
          <w:ilvl w:val="0"/>
          <w:numId w:val="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Royaume-Uni :</w:t>
      </w:r>
      <w:r w:rsidRPr="008D4204">
        <w:rPr>
          <w:rFonts w:eastAsia="Times New Roman" w:cstheme="minorHAnsi"/>
          <w:sz w:val="24"/>
          <w:szCs w:val="24"/>
          <w:lang w:eastAsia="fr-FR"/>
        </w:rPr>
        <w:t xml:space="preserve"> 1,6.</w:t>
      </w:r>
    </w:p>
    <w:p w14:paraId="48E57E6C"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 xml:space="preserve">* Service de </w:t>
      </w:r>
      <w:proofErr w:type="spellStart"/>
      <w:r w:rsidRPr="008D4204">
        <w:rPr>
          <w:rFonts w:eastAsia="Times New Roman" w:cstheme="minorHAnsi"/>
          <w:sz w:val="24"/>
          <w:szCs w:val="24"/>
          <w:lang w:eastAsia="fr-FR"/>
        </w:rPr>
        <w:t>VoIP</w:t>
      </w:r>
      <w:proofErr w:type="spellEnd"/>
      <w:r w:rsidRPr="008D4204">
        <w:rPr>
          <w:rFonts w:eastAsia="Times New Roman" w:cstheme="minorHAnsi"/>
          <w:sz w:val="24"/>
          <w:szCs w:val="24"/>
          <w:lang w:eastAsia="fr-FR"/>
        </w:rPr>
        <w:t xml:space="preserve"> géré par un opérateur de réseau (à la différence des applications OTT).</w:t>
      </w:r>
    </w:p>
    <w:p w14:paraId="272FC170" w14:textId="77777777" w:rsidR="008D4204" w:rsidRPr="00712DEF" w:rsidRDefault="008D4204" w:rsidP="008D4204">
      <w:pPr>
        <w:spacing w:before="100" w:beforeAutospacing="1" w:after="100" w:afterAutospacing="1" w:line="240" w:lineRule="auto"/>
        <w:rPr>
          <w:rFonts w:eastAsia="Times New Roman" w:cstheme="minorHAnsi"/>
          <w:sz w:val="32"/>
          <w:szCs w:val="32"/>
          <w:lang w:eastAsia="fr-FR"/>
        </w:rPr>
      </w:pPr>
      <w:r w:rsidRPr="00712DEF">
        <w:rPr>
          <w:rFonts w:eastAsia="Times New Roman" w:cstheme="minorHAnsi"/>
          <w:sz w:val="24"/>
          <w:szCs w:val="24"/>
          <w:lang w:eastAsia="fr-FR"/>
        </w:rPr>
        <w:t>Source : IDATE d’après données régulateurs et estimations.</w:t>
      </w:r>
    </w:p>
    <w:p w14:paraId="6E1CB51C" w14:textId="77777777" w:rsidR="008D4204" w:rsidRPr="008D4204" w:rsidRDefault="008D4204" w:rsidP="00712DEF">
      <w:pPr>
        <w:pStyle w:val="Titre2"/>
      </w:pPr>
      <w:r w:rsidRPr="008D4204">
        <w:t>1.7 …et plus encore en IPTV.</w:t>
      </w:r>
    </w:p>
    <w:p w14:paraId="2C4B1A25" w14:textId="0BA29E4C"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Près de 12 millions de clients actifs IPTV en France à fin 2017, soit plus que les 5 autres grands pays européens réunis !</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Parc de clients actifs* IPTV dans les grands pays européens à fin 2017 :</w:t>
      </w:r>
    </w:p>
    <w:p w14:paraId="5836C4EC" w14:textId="77777777" w:rsidR="008D4204" w:rsidRPr="008D4204" w:rsidRDefault="008D4204" w:rsidP="008D4204">
      <w:pPr>
        <w:numPr>
          <w:ilvl w:val="0"/>
          <w:numId w:val="9"/>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lastRenderedPageBreak/>
        <w:t>France :</w:t>
      </w:r>
      <w:r w:rsidRPr="008D4204">
        <w:rPr>
          <w:rFonts w:eastAsia="Times New Roman" w:cstheme="minorHAnsi"/>
          <w:sz w:val="24"/>
          <w:szCs w:val="24"/>
          <w:lang w:eastAsia="fr-FR"/>
        </w:rPr>
        <w:t xml:space="preserve"> 11,9 ;</w:t>
      </w:r>
    </w:p>
    <w:p w14:paraId="482D7683" w14:textId="77777777" w:rsidR="008D4204" w:rsidRPr="008D4204" w:rsidRDefault="008D4204" w:rsidP="008D4204">
      <w:pPr>
        <w:numPr>
          <w:ilvl w:val="0"/>
          <w:numId w:val="9"/>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Espagne :</w:t>
      </w:r>
      <w:r w:rsidRPr="008D4204">
        <w:rPr>
          <w:rFonts w:eastAsia="Times New Roman" w:cstheme="minorHAnsi"/>
          <w:sz w:val="24"/>
          <w:szCs w:val="24"/>
          <w:lang w:eastAsia="fr-FR"/>
        </w:rPr>
        <w:t xml:space="preserve"> 4,0 ;</w:t>
      </w:r>
    </w:p>
    <w:p w14:paraId="13286532" w14:textId="77777777" w:rsidR="008D4204" w:rsidRPr="008D4204" w:rsidRDefault="008D4204" w:rsidP="008D4204">
      <w:pPr>
        <w:numPr>
          <w:ilvl w:val="0"/>
          <w:numId w:val="9"/>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Allemagne :</w:t>
      </w:r>
      <w:r w:rsidRPr="008D4204">
        <w:rPr>
          <w:rFonts w:eastAsia="Times New Roman" w:cstheme="minorHAnsi"/>
          <w:sz w:val="24"/>
          <w:szCs w:val="24"/>
          <w:lang w:eastAsia="fr-FR"/>
        </w:rPr>
        <w:t xml:space="preserve"> 2,9 ;</w:t>
      </w:r>
    </w:p>
    <w:p w14:paraId="0FBEEE55" w14:textId="77777777" w:rsidR="008D4204" w:rsidRPr="008D4204" w:rsidRDefault="008D4204" w:rsidP="008D4204">
      <w:pPr>
        <w:numPr>
          <w:ilvl w:val="0"/>
          <w:numId w:val="9"/>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Royaume-Uni :</w:t>
      </w:r>
      <w:r w:rsidRPr="008D4204">
        <w:rPr>
          <w:rFonts w:eastAsia="Times New Roman" w:cstheme="minorHAnsi"/>
          <w:sz w:val="24"/>
          <w:szCs w:val="24"/>
          <w:lang w:eastAsia="fr-FR"/>
        </w:rPr>
        <w:t xml:space="preserve"> 1,7 ;</w:t>
      </w:r>
    </w:p>
    <w:p w14:paraId="2AC9EB14" w14:textId="77777777" w:rsidR="008D4204" w:rsidRPr="008D4204" w:rsidRDefault="008D4204" w:rsidP="008D4204">
      <w:pPr>
        <w:numPr>
          <w:ilvl w:val="0"/>
          <w:numId w:val="9"/>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Pologne :</w:t>
      </w:r>
      <w:r w:rsidRPr="008D4204">
        <w:rPr>
          <w:rFonts w:eastAsia="Times New Roman" w:cstheme="minorHAnsi"/>
          <w:sz w:val="24"/>
          <w:szCs w:val="24"/>
          <w:lang w:eastAsia="fr-FR"/>
        </w:rPr>
        <w:t xml:space="preserve"> 0,7 ;</w:t>
      </w:r>
    </w:p>
    <w:p w14:paraId="1F4C1A96" w14:textId="77777777" w:rsidR="008D4204" w:rsidRPr="008D4204" w:rsidRDefault="008D4204" w:rsidP="008D4204">
      <w:pPr>
        <w:numPr>
          <w:ilvl w:val="0"/>
          <w:numId w:val="9"/>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Italie :</w:t>
      </w:r>
      <w:r w:rsidRPr="008D4204">
        <w:rPr>
          <w:rFonts w:eastAsia="Times New Roman" w:cstheme="minorHAnsi"/>
          <w:sz w:val="24"/>
          <w:szCs w:val="24"/>
          <w:lang w:eastAsia="fr-FR"/>
        </w:rPr>
        <w:t xml:space="preserve"> 0,1.</w:t>
      </w:r>
    </w:p>
    <w:p w14:paraId="45A4A86F"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 Données retraitées pour éliminer les abonnés non utilisateurs.</w:t>
      </w:r>
    </w:p>
    <w:p w14:paraId="58DE9027" w14:textId="77777777" w:rsidR="008D4204" w:rsidRPr="00712DEF" w:rsidRDefault="008D4204" w:rsidP="008D4204">
      <w:pPr>
        <w:spacing w:before="100" w:beforeAutospacing="1" w:after="100" w:afterAutospacing="1" w:line="240" w:lineRule="auto"/>
        <w:rPr>
          <w:rFonts w:eastAsia="Times New Roman" w:cstheme="minorHAnsi"/>
          <w:sz w:val="32"/>
          <w:szCs w:val="32"/>
          <w:lang w:eastAsia="fr-FR"/>
        </w:rPr>
      </w:pPr>
      <w:r w:rsidRPr="00712DEF">
        <w:rPr>
          <w:rFonts w:eastAsia="Times New Roman" w:cstheme="minorHAnsi"/>
          <w:sz w:val="24"/>
          <w:szCs w:val="24"/>
          <w:lang w:eastAsia="fr-FR"/>
        </w:rPr>
        <w:t>Source : IDATE d’après données régulateurs et estimations.</w:t>
      </w:r>
    </w:p>
    <w:p w14:paraId="6D4CFC3C" w14:textId="77777777" w:rsidR="008D4204" w:rsidRPr="008D4204" w:rsidRDefault="008D4204" w:rsidP="00712DEF">
      <w:pPr>
        <w:pStyle w:val="Titre2"/>
      </w:pPr>
      <w:r w:rsidRPr="008D4204">
        <w:t>1.8 Des prix en baisse, singulièrement dans les mobiles.</w:t>
      </w:r>
    </w:p>
    <w:p w14:paraId="63F495E5" w14:textId="4BE51A35"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Une facture mobile moyenne en recul de plus de 40% en 10 ans pour des volumes de consommation en hausse, voire en explosion pour la donnée.</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Dépenses et consommation moyennes mensuelles par carte SIM</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Facture mensuelle (en euro hors taxes) :</w:t>
      </w:r>
    </w:p>
    <w:p w14:paraId="392762CF"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2007 :</w:t>
      </w:r>
      <w:r w:rsidRPr="008D4204">
        <w:rPr>
          <w:rFonts w:eastAsia="Times New Roman" w:cstheme="minorHAnsi"/>
          <w:sz w:val="24"/>
          <w:szCs w:val="24"/>
          <w:lang w:eastAsia="fr-FR"/>
        </w:rPr>
        <w:t xml:space="preserve"> 30 € ;</w:t>
      </w:r>
    </w:p>
    <w:p w14:paraId="37067944"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2008 :</w:t>
      </w:r>
      <w:r w:rsidRPr="008D4204">
        <w:rPr>
          <w:rFonts w:eastAsia="Times New Roman" w:cstheme="minorHAnsi"/>
          <w:sz w:val="24"/>
          <w:szCs w:val="24"/>
          <w:lang w:eastAsia="fr-FR"/>
        </w:rPr>
        <w:t xml:space="preserve"> 29 € ;</w:t>
      </w:r>
    </w:p>
    <w:p w14:paraId="0E66E5EC"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2009 :</w:t>
      </w:r>
      <w:r w:rsidRPr="008D4204">
        <w:rPr>
          <w:rFonts w:eastAsia="Times New Roman" w:cstheme="minorHAnsi"/>
          <w:sz w:val="24"/>
          <w:szCs w:val="24"/>
          <w:lang w:eastAsia="fr-FR"/>
        </w:rPr>
        <w:t xml:space="preserve"> 28 € ;</w:t>
      </w:r>
    </w:p>
    <w:p w14:paraId="1C8F3566"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2010 :</w:t>
      </w:r>
      <w:r w:rsidRPr="008D4204">
        <w:rPr>
          <w:rFonts w:eastAsia="Times New Roman" w:cstheme="minorHAnsi"/>
          <w:sz w:val="24"/>
          <w:szCs w:val="24"/>
          <w:lang w:eastAsia="fr-FR"/>
        </w:rPr>
        <w:t xml:space="preserve"> 27 € ;</w:t>
      </w:r>
    </w:p>
    <w:p w14:paraId="3D005967"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2011 :</w:t>
      </w:r>
      <w:r w:rsidRPr="008D4204">
        <w:rPr>
          <w:rFonts w:eastAsia="Times New Roman" w:cstheme="minorHAnsi"/>
          <w:sz w:val="24"/>
          <w:szCs w:val="24"/>
          <w:lang w:eastAsia="fr-FR"/>
        </w:rPr>
        <w:t xml:space="preserve"> 26 € ;</w:t>
      </w:r>
    </w:p>
    <w:p w14:paraId="5172ABF8"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2012 :</w:t>
      </w:r>
      <w:r w:rsidRPr="008D4204">
        <w:rPr>
          <w:rFonts w:eastAsia="Times New Roman" w:cstheme="minorHAnsi"/>
          <w:sz w:val="24"/>
          <w:szCs w:val="24"/>
          <w:lang w:eastAsia="fr-FR"/>
        </w:rPr>
        <w:t xml:space="preserve"> 23 € ;</w:t>
      </w:r>
    </w:p>
    <w:p w14:paraId="373C23FC"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2013 :</w:t>
      </w:r>
      <w:r w:rsidRPr="008D4204">
        <w:rPr>
          <w:rFonts w:eastAsia="Times New Roman" w:cstheme="minorHAnsi"/>
          <w:sz w:val="24"/>
          <w:szCs w:val="24"/>
          <w:lang w:eastAsia="fr-FR"/>
        </w:rPr>
        <w:t xml:space="preserve"> 20 € ;</w:t>
      </w:r>
    </w:p>
    <w:p w14:paraId="193D3AB0"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2014 :</w:t>
      </w:r>
      <w:r w:rsidRPr="008D4204">
        <w:rPr>
          <w:rFonts w:eastAsia="Times New Roman" w:cstheme="minorHAnsi"/>
          <w:sz w:val="24"/>
          <w:szCs w:val="24"/>
          <w:lang w:eastAsia="fr-FR"/>
        </w:rPr>
        <w:t xml:space="preserve"> 18 € ;</w:t>
      </w:r>
    </w:p>
    <w:p w14:paraId="5D0137FE"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2015 :</w:t>
      </w:r>
      <w:r w:rsidRPr="008D4204">
        <w:rPr>
          <w:rFonts w:eastAsia="Times New Roman" w:cstheme="minorHAnsi"/>
          <w:sz w:val="24"/>
          <w:szCs w:val="24"/>
          <w:lang w:eastAsia="fr-FR"/>
        </w:rPr>
        <w:t xml:space="preserve"> 17 € ;</w:t>
      </w:r>
    </w:p>
    <w:p w14:paraId="12CE051C"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2016 :</w:t>
      </w:r>
      <w:r w:rsidRPr="008D4204">
        <w:rPr>
          <w:rFonts w:eastAsia="Times New Roman" w:cstheme="minorHAnsi"/>
          <w:sz w:val="24"/>
          <w:szCs w:val="24"/>
          <w:lang w:eastAsia="fr-FR"/>
        </w:rPr>
        <w:t xml:space="preserve"> 17 € ;</w:t>
      </w:r>
    </w:p>
    <w:p w14:paraId="04A6C3FD" w14:textId="77777777" w:rsidR="008D4204" w:rsidRPr="008D4204" w:rsidRDefault="008D4204" w:rsidP="008D4204">
      <w:pPr>
        <w:numPr>
          <w:ilvl w:val="0"/>
          <w:numId w:val="1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2017 :</w:t>
      </w:r>
      <w:r w:rsidRPr="008D4204">
        <w:rPr>
          <w:rFonts w:eastAsia="Times New Roman" w:cstheme="minorHAnsi"/>
          <w:sz w:val="24"/>
          <w:szCs w:val="24"/>
          <w:lang w:eastAsia="fr-FR"/>
        </w:rPr>
        <w:t xml:space="preserve"> 16 €.</w:t>
      </w:r>
    </w:p>
    <w:p w14:paraId="0CB978F6" w14:textId="3DFB947B" w:rsidR="008D4204" w:rsidRPr="00712DEF" w:rsidRDefault="008D4204" w:rsidP="008D4204">
      <w:pPr>
        <w:spacing w:before="100" w:beforeAutospacing="1" w:after="100" w:afterAutospacing="1" w:line="240" w:lineRule="auto"/>
        <w:rPr>
          <w:rFonts w:eastAsia="Times New Roman" w:cstheme="minorHAnsi"/>
          <w:sz w:val="24"/>
          <w:szCs w:val="24"/>
          <w:lang w:eastAsia="fr-FR"/>
        </w:rPr>
      </w:pPr>
      <w:r w:rsidRPr="00712DEF">
        <w:rPr>
          <w:rFonts w:eastAsia="Times New Roman" w:cstheme="minorHAnsi"/>
          <w:sz w:val="24"/>
          <w:szCs w:val="24"/>
          <w:lang w:eastAsia="fr-FR"/>
        </w:rPr>
        <w:t>Source : IDATE d’après données Arcep.</w:t>
      </w:r>
    </w:p>
    <w:p w14:paraId="6A97DDC4" w14:textId="77777777" w:rsidR="00A925B3" w:rsidRPr="008D4204" w:rsidRDefault="00A925B3" w:rsidP="00A925B3">
      <w:pPr>
        <w:pStyle w:val="Titre1"/>
      </w:pPr>
      <w:r w:rsidRPr="008D4204">
        <w:t>Partie 2 : Modèles d'investissement.</w:t>
      </w:r>
    </w:p>
    <w:p w14:paraId="426223BF" w14:textId="2F2B52F9" w:rsidR="008D4204" w:rsidRPr="008D4204" w:rsidRDefault="008D4204" w:rsidP="00712DEF">
      <w:pPr>
        <w:pStyle w:val="Titre2"/>
      </w:pPr>
      <w:r w:rsidRPr="008D4204">
        <w:t>2.1 Investissement dans les réseaux</w:t>
      </w:r>
      <w:r w:rsidR="00712DEF">
        <w:t>.</w:t>
      </w:r>
    </w:p>
    <w:p w14:paraId="5381F5E7" w14:textId="201B04CB"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L’Union Européenne (UE) sous-investit dans les réseaux.</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CAPEX (Dépense d'investissement de capital) par habitant, 2017 :</w:t>
      </w:r>
    </w:p>
    <w:p w14:paraId="3BC37A08" w14:textId="77777777" w:rsidR="008D4204" w:rsidRPr="008D4204" w:rsidRDefault="008D4204" w:rsidP="008D4204">
      <w:pPr>
        <w:numPr>
          <w:ilvl w:val="0"/>
          <w:numId w:val="11"/>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États-Unis :</w:t>
      </w:r>
      <w:r w:rsidRPr="008D4204">
        <w:rPr>
          <w:rFonts w:eastAsia="Times New Roman" w:cstheme="minorHAnsi"/>
          <w:sz w:val="24"/>
          <w:szCs w:val="24"/>
          <w:lang w:eastAsia="fr-FR"/>
        </w:rPr>
        <w:t xml:space="preserve"> 226 € ;</w:t>
      </w:r>
    </w:p>
    <w:p w14:paraId="552D59F3" w14:textId="77777777" w:rsidR="008D4204" w:rsidRPr="008D4204" w:rsidRDefault="008D4204" w:rsidP="008D4204">
      <w:pPr>
        <w:numPr>
          <w:ilvl w:val="0"/>
          <w:numId w:val="11"/>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Japon :</w:t>
      </w:r>
      <w:r w:rsidRPr="008D4204">
        <w:rPr>
          <w:rFonts w:eastAsia="Times New Roman" w:cstheme="minorHAnsi"/>
          <w:sz w:val="24"/>
          <w:szCs w:val="24"/>
          <w:lang w:eastAsia="fr-FR"/>
        </w:rPr>
        <w:t xml:space="preserve"> 163 € ;</w:t>
      </w:r>
    </w:p>
    <w:p w14:paraId="47E09F56" w14:textId="77777777" w:rsidR="008D4204" w:rsidRPr="008D4204" w:rsidRDefault="008D4204" w:rsidP="008D4204">
      <w:pPr>
        <w:numPr>
          <w:ilvl w:val="0"/>
          <w:numId w:val="11"/>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Top 5 Europe (Allemagne, France, Royaume-Uni, Italie et Espagne) :</w:t>
      </w:r>
      <w:r w:rsidRPr="008D4204">
        <w:rPr>
          <w:rFonts w:eastAsia="Times New Roman" w:cstheme="minorHAnsi"/>
          <w:sz w:val="24"/>
          <w:szCs w:val="24"/>
          <w:lang w:eastAsia="fr-FR"/>
        </w:rPr>
        <w:t xml:space="preserve"> 118 €.</w:t>
      </w:r>
    </w:p>
    <w:p w14:paraId="0F4D7AD7"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lastRenderedPageBreak/>
        <w:t>Le différentiel d’investissement par habitant entre les pays européens et les USA et, dans une moindre mesure le Japon, est significatif. Toute chose étant égale par ailleurs, le différentiel d’investissement entre les USA et l’UE est de plus de 50.</w:t>
      </w:r>
    </w:p>
    <w:p w14:paraId="2A6E405B" w14:textId="27E6DAD0" w:rsidR="008D4204" w:rsidRPr="008D4204" w:rsidRDefault="008D4204" w:rsidP="00712DEF">
      <w:pPr>
        <w:pStyle w:val="Titre2"/>
      </w:pPr>
      <w:r w:rsidRPr="008D4204">
        <w:t xml:space="preserve">2.2 </w:t>
      </w:r>
      <w:r w:rsidR="00712DEF">
        <w:t>L</w:t>
      </w:r>
      <w:r w:rsidRPr="008D4204">
        <w:t>e différentiel est en partie le résultat d’un modèle d’investissement différent.</w:t>
      </w:r>
    </w:p>
    <w:p w14:paraId="553235D1" w14:textId="1BF264B3" w:rsidR="008D4204" w:rsidRPr="00712DEF" w:rsidRDefault="008D4204" w:rsidP="00712DEF">
      <w:pPr>
        <w:pStyle w:val="Paragraphedeliste"/>
        <w:numPr>
          <w:ilvl w:val="0"/>
          <w:numId w:val="23"/>
        </w:numPr>
        <w:spacing w:before="100" w:beforeAutospacing="1" w:after="100" w:afterAutospacing="1" w:line="240" w:lineRule="auto"/>
        <w:rPr>
          <w:rFonts w:eastAsia="Times New Roman" w:cstheme="minorHAnsi"/>
          <w:sz w:val="24"/>
          <w:szCs w:val="24"/>
          <w:lang w:eastAsia="fr-FR"/>
        </w:rPr>
      </w:pPr>
      <w:r w:rsidRPr="00712DEF">
        <w:rPr>
          <w:rFonts w:eastAsia="Times New Roman" w:cstheme="minorHAnsi"/>
          <w:b/>
          <w:bCs/>
          <w:sz w:val="24"/>
          <w:szCs w:val="24"/>
          <w:lang w:eastAsia="fr-FR"/>
        </w:rPr>
        <w:t>États-Unis :</w:t>
      </w:r>
      <w:r w:rsidR="00712DEF" w:rsidRPr="00712DEF">
        <w:rPr>
          <w:rFonts w:eastAsia="Times New Roman" w:cstheme="minorHAnsi"/>
          <w:b/>
          <w:bCs/>
          <w:sz w:val="24"/>
          <w:szCs w:val="24"/>
          <w:lang w:eastAsia="fr-FR"/>
        </w:rPr>
        <w:t xml:space="preserve"> </w:t>
      </w:r>
      <w:r w:rsidR="00712DEF" w:rsidRPr="00712DEF">
        <w:rPr>
          <w:rFonts w:eastAsia="Times New Roman" w:cstheme="minorHAnsi"/>
          <w:sz w:val="24"/>
          <w:szCs w:val="24"/>
          <w:lang w:eastAsia="fr-FR"/>
        </w:rPr>
        <w:t>r</w:t>
      </w:r>
      <w:r w:rsidR="00712DEF" w:rsidRPr="00712DEF">
        <w:rPr>
          <w:rFonts w:eastAsia="Times New Roman" w:cstheme="minorHAnsi"/>
          <w:sz w:val="24"/>
          <w:szCs w:val="24"/>
          <w:lang w:eastAsia="fr-FR"/>
        </w:rPr>
        <w:t>églementation allégée</w:t>
      </w:r>
      <w:r w:rsidR="00712DEF" w:rsidRPr="00712DEF">
        <w:rPr>
          <w:rFonts w:eastAsia="Times New Roman" w:cstheme="minorHAnsi"/>
          <w:sz w:val="24"/>
          <w:szCs w:val="24"/>
          <w:lang w:eastAsia="fr-FR"/>
        </w:rPr>
        <w:t xml:space="preserve"> et c</w:t>
      </w:r>
      <w:r w:rsidRPr="00712DEF">
        <w:rPr>
          <w:rFonts w:eastAsia="Times New Roman" w:cstheme="minorHAnsi"/>
          <w:sz w:val="24"/>
          <w:szCs w:val="24"/>
          <w:lang w:eastAsia="fr-FR"/>
        </w:rPr>
        <w:t xml:space="preserve">ompétition limitée : </w:t>
      </w:r>
      <w:r w:rsidR="00712DEF" w:rsidRPr="00712DEF">
        <w:rPr>
          <w:rFonts w:eastAsia="Times New Roman" w:cstheme="minorHAnsi"/>
          <w:sz w:val="24"/>
          <w:szCs w:val="24"/>
          <w:lang w:eastAsia="fr-FR"/>
        </w:rPr>
        <w:t>quatre acteurs mobiles</w:t>
      </w:r>
      <w:r w:rsidRPr="00712DEF">
        <w:rPr>
          <w:rFonts w:eastAsia="Times New Roman" w:cstheme="minorHAnsi"/>
          <w:sz w:val="24"/>
          <w:szCs w:val="24"/>
          <w:lang w:eastAsia="fr-FR"/>
        </w:rPr>
        <w:t xml:space="preserve"> se partagent 96% d’un marché de 320 millions d’habitants, L’absence de dégroupage conduit le marché fixe à être une compétition entre opérateur historique et câblo-opérateur (duopole de fait)</w:t>
      </w:r>
      <w:r w:rsidR="00712DEF" w:rsidRPr="00712DEF">
        <w:rPr>
          <w:rFonts w:eastAsia="Times New Roman" w:cstheme="minorHAnsi"/>
          <w:sz w:val="24"/>
          <w:szCs w:val="24"/>
          <w:lang w:eastAsia="fr-FR"/>
        </w:rPr>
        <w:t>.</w:t>
      </w:r>
    </w:p>
    <w:p w14:paraId="6708F881" w14:textId="4B877AB3" w:rsidR="008D4204" w:rsidRPr="00712DEF" w:rsidRDefault="008D4204" w:rsidP="00712DEF">
      <w:pPr>
        <w:pStyle w:val="Paragraphedeliste"/>
        <w:numPr>
          <w:ilvl w:val="0"/>
          <w:numId w:val="23"/>
        </w:numPr>
        <w:spacing w:before="100" w:beforeAutospacing="1" w:after="100" w:afterAutospacing="1" w:line="240" w:lineRule="auto"/>
        <w:rPr>
          <w:rFonts w:eastAsia="Times New Roman" w:cstheme="minorHAnsi"/>
          <w:sz w:val="24"/>
          <w:szCs w:val="24"/>
          <w:lang w:eastAsia="fr-FR"/>
        </w:rPr>
      </w:pPr>
      <w:r w:rsidRPr="00712DEF">
        <w:rPr>
          <w:rFonts w:eastAsia="Times New Roman" w:cstheme="minorHAnsi"/>
          <w:b/>
          <w:bCs/>
          <w:sz w:val="24"/>
          <w:szCs w:val="24"/>
          <w:lang w:eastAsia="fr-FR"/>
        </w:rPr>
        <w:t>Asie :</w:t>
      </w:r>
      <w:r w:rsidR="00712DEF" w:rsidRPr="00712DEF">
        <w:rPr>
          <w:rFonts w:eastAsia="Times New Roman" w:cstheme="minorHAnsi"/>
          <w:sz w:val="24"/>
          <w:szCs w:val="24"/>
          <w:lang w:eastAsia="fr-FR"/>
        </w:rPr>
        <w:t xml:space="preserve"> p</w:t>
      </w:r>
      <w:r w:rsidRPr="00712DEF">
        <w:rPr>
          <w:rFonts w:eastAsia="Times New Roman" w:cstheme="minorHAnsi"/>
          <w:sz w:val="24"/>
          <w:szCs w:val="24"/>
          <w:lang w:eastAsia="fr-FR"/>
        </w:rPr>
        <w:t xml:space="preserve">olitiques industrielles très directives </w:t>
      </w:r>
      <w:r w:rsidR="00712DEF" w:rsidRPr="00712DEF">
        <w:rPr>
          <w:rFonts w:eastAsia="Times New Roman" w:cstheme="minorHAnsi"/>
          <w:sz w:val="24"/>
          <w:szCs w:val="24"/>
          <w:lang w:eastAsia="fr-FR"/>
        </w:rPr>
        <w:t>et s</w:t>
      </w:r>
      <w:r w:rsidRPr="00712DEF">
        <w:rPr>
          <w:rFonts w:eastAsia="Times New Roman" w:cstheme="minorHAnsi"/>
          <w:sz w:val="24"/>
          <w:szCs w:val="24"/>
          <w:lang w:eastAsia="fr-FR"/>
        </w:rPr>
        <w:t>ubventionnements publics importants.</w:t>
      </w:r>
    </w:p>
    <w:p w14:paraId="47046676" w14:textId="7BE1CCE1" w:rsidR="008D4204" w:rsidRPr="00712DEF" w:rsidRDefault="008D4204" w:rsidP="00712DEF">
      <w:pPr>
        <w:pStyle w:val="Paragraphedeliste"/>
        <w:numPr>
          <w:ilvl w:val="0"/>
          <w:numId w:val="23"/>
        </w:numPr>
        <w:spacing w:before="100" w:beforeAutospacing="1" w:after="100" w:afterAutospacing="1" w:line="240" w:lineRule="auto"/>
        <w:rPr>
          <w:rFonts w:eastAsia="Times New Roman" w:cstheme="minorHAnsi"/>
          <w:sz w:val="24"/>
          <w:szCs w:val="24"/>
          <w:lang w:eastAsia="fr-FR"/>
        </w:rPr>
      </w:pPr>
      <w:r w:rsidRPr="00712DEF">
        <w:rPr>
          <w:rFonts w:eastAsia="Times New Roman" w:cstheme="minorHAnsi"/>
          <w:b/>
          <w:bCs/>
          <w:sz w:val="24"/>
          <w:szCs w:val="24"/>
          <w:lang w:eastAsia="fr-FR"/>
        </w:rPr>
        <w:t>Europe :</w:t>
      </w:r>
      <w:r w:rsidR="00712DEF" w:rsidRPr="00712DEF">
        <w:rPr>
          <w:rFonts w:eastAsia="Times New Roman" w:cstheme="minorHAnsi"/>
          <w:sz w:val="24"/>
          <w:szCs w:val="24"/>
          <w:lang w:eastAsia="fr-FR"/>
        </w:rPr>
        <w:t xml:space="preserve"> f</w:t>
      </w:r>
      <w:r w:rsidRPr="00712DEF">
        <w:rPr>
          <w:rFonts w:eastAsia="Times New Roman" w:cstheme="minorHAnsi"/>
          <w:sz w:val="24"/>
          <w:szCs w:val="24"/>
          <w:lang w:eastAsia="fr-FR"/>
        </w:rPr>
        <w:t>orte compétition due à l’arrivée de nouveaux opérateurs : 19 opérateurs pour l’UE-5 ;</w:t>
      </w:r>
      <w:r w:rsidR="00712DEF" w:rsidRPr="00712DEF">
        <w:rPr>
          <w:rFonts w:eastAsia="Times New Roman" w:cstheme="minorHAnsi"/>
          <w:sz w:val="24"/>
          <w:szCs w:val="24"/>
          <w:lang w:eastAsia="fr-FR"/>
        </w:rPr>
        <w:t xml:space="preserve"> f</w:t>
      </w:r>
      <w:r w:rsidRPr="00712DEF">
        <w:rPr>
          <w:rFonts w:eastAsia="Times New Roman" w:cstheme="minorHAnsi"/>
          <w:sz w:val="24"/>
          <w:szCs w:val="24"/>
          <w:lang w:eastAsia="fr-FR"/>
        </w:rPr>
        <w:t xml:space="preserve">ermeté de la Direction de la Concurrence de la Commission européenne concernant la fusion entre opérateurs </w:t>
      </w:r>
      <w:r w:rsidR="00712DEF" w:rsidRPr="00712DEF">
        <w:rPr>
          <w:rFonts w:eastAsia="Times New Roman" w:cstheme="minorHAnsi"/>
          <w:sz w:val="24"/>
          <w:szCs w:val="24"/>
          <w:lang w:eastAsia="fr-FR"/>
        </w:rPr>
        <w:t>et s</w:t>
      </w:r>
      <w:r w:rsidRPr="00712DEF">
        <w:rPr>
          <w:rFonts w:eastAsia="Times New Roman" w:cstheme="minorHAnsi"/>
          <w:sz w:val="24"/>
          <w:szCs w:val="24"/>
          <w:lang w:eastAsia="fr-FR"/>
        </w:rPr>
        <w:t>ubventionnement public sous haute surveillance.</w:t>
      </w:r>
    </w:p>
    <w:p w14:paraId="0EDB9CC7" w14:textId="60F80D78" w:rsidR="008D4204" w:rsidRPr="008D4204" w:rsidRDefault="008D4204" w:rsidP="00712DEF">
      <w:pPr>
        <w:pStyle w:val="Titre2"/>
      </w:pPr>
      <w:r w:rsidRPr="008D4204">
        <w:t>2.3 Investissement dans les réseaux</w:t>
      </w:r>
      <w:r w:rsidR="00712DEF">
        <w:t>.</w:t>
      </w:r>
    </w:p>
    <w:p w14:paraId="7CD40321" w14:textId="00FC41FB"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En France, l’écart est moins grand mais reste significatif…</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CAPEX par habitant, 2017 :</w:t>
      </w:r>
    </w:p>
    <w:p w14:paraId="6C88F58F" w14:textId="77777777" w:rsidR="008D4204" w:rsidRPr="008D4204" w:rsidRDefault="008D4204" w:rsidP="008D4204">
      <w:pPr>
        <w:numPr>
          <w:ilvl w:val="0"/>
          <w:numId w:val="1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États-Unis :</w:t>
      </w:r>
      <w:r w:rsidRPr="008D4204">
        <w:rPr>
          <w:rFonts w:eastAsia="Times New Roman" w:cstheme="minorHAnsi"/>
          <w:sz w:val="24"/>
          <w:szCs w:val="24"/>
          <w:lang w:eastAsia="fr-FR"/>
        </w:rPr>
        <w:t xml:space="preserve"> 226 € ;</w:t>
      </w:r>
    </w:p>
    <w:p w14:paraId="5D41506E" w14:textId="77777777" w:rsidR="008D4204" w:rsidRPr="008D4204" w:rsidRDefault="008D4204" w:rsidP="008D4204">
      <w:pPr>
        <w:numPr>
          <w:ilvl w:val="0"/>
          <w:numId w:val="1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Japon :</w:t>
      </w:r>
      <w:r w:rsidRPr="008D4204">
        <w:rPr>
          <w:rFonts w:eastAsia="Times New Roman" w:cstheme="minorHAnsi"/>
          <w:sz w:val="24"/>
          <w:szCs w:val="24"/>
          <w:lang w:eastAsia="fr-FR"/>
        </w:rPr>
        <w:t xml:space="preserve"> 163 € ;</w:t>
      </w:r>
    </w:p>
    <w:p w14:paraId="2DB771F1" w14:textId="77777777" w:rsidR="008D4204" w:rsidRPr="008D4204" w:rsidRDefault="008D4204" w:rsidP="008D4204">
      <w:pPr>
        <w:numPr>
          <w:ilvl w:val="0"/>
          <w:numId w:val="1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France :</w:t>
      </w:r>
      <w:r w:rsidRPr="008D4204">
        <w:rPr>
          <w:rFonts w:eastAsia="Times New Roman" w:cstheme="minorHAnsi"/>
          <w:sz w:val="24"/>
          <w:szCs w:val="24"/>
          <w:lang w:eastAsia="fr-FR"/>
        </w:rPr>
        <w:t xml:space="preserve"> 142 € ;</w:t>
      </w:r>
    </w:p>
    <w:p w14:paraId="719AE631" w14:textId="77777777" w:rsidR="008D4204" w:rsidRPr="008D4204" w:rsidRDefault="008D4204" w:rsidP="008D4204">
      <w:pPr>
        <w:numPr>
          <w:ilvl w:val="0"/>
          <w:numId w:val="15"/>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Top 5 Europe :</w:t>
      </w:r>
      <w:r w:rsidRPr="008D4204">
        <w:rPr>
          <w:rFonts w:eastAsia="Times New Roman" w:cstheme="minorHAnsi"/>
          <w:sz w:val="24"/>
          <w:szCs w:val="24"/>
          <w:lang w:eastAsia="fr-FR"/>
        </w:rPr>
        <w:t xml:space="preserve"> 118 €.</w:t>
      </w:r>
    </w:p>
    <w:p w14:paraId="46EF0FB5" w14:textId="3BD311D0"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La France présente un investissement par habitant très supérieur à la moyenne européenne</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Il n’en reste pas moins très éloigné des investissements américains</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Pour atteindre le niveau d’investissement américain, il manque, en France, près de 6 milliards d'euros par an.</w:t>
      </w:r>
    </w:p>
    <w:p w14:paraId="5C3A8086" w14:textId="5E651396" w:rsidR="008D4204" w:rsidRPr="008D4204" w:rsidRDefault="008D4204" w:rsidP="00712DEF">
      <w:pPr>
        <w:pStyle w:val="Titre2"/>
      </w:pPr>
      <w:r w:rsidRPr="008D4204">
        <w:t>2.4 Taux d’effort</w:t>
      </w:r>
      <w:r w:rsidR="00712DEF">
        <w:t>.</w:t>
      </w:r>
    </w:p>
    <w:p w14:paraId="74720F22" w14:textId="7B93C850"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…mais c’est au prix d’un niveau d’effort qu’il sera difficile de tenir dans le temps.</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Taux d’effort d’investissement par pays (CAPEX /CA) et comparaison avec la marge (EBITDA*/CA), 2017 :</w:t>
      </w:r>
    </w:p>
    <w:p w14:paraId="56BB7081" w14:textId="77777777" w:rsidR="008D4204" w:rsidRPr="008D4204" w:rsidRDefault="008D4204" w:rsidP="008D4204">
      <w:pPr>
        <w:numPr>
          <w:ilvl w:val="0"/>
          <w:numId w:val="16"/>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Japon :</w:t>
      </w:r>
      <w:r w:rsidRPr="008D4204">
        <w:rPr>
          <w:rFonts w:eastAsia="Times New Roman" w:cstheme="minorHAnsi"/>
          <w:sz w:val="24"/>
          <w:szCs w:val="24"/>
          <w:lang w:eastAsia="fr-FR"/>
        </w:rPr>
        <w:t xml:space="preserve"> 13,0 % ;</w:t>
      </w:r>
    </w:p>
    <w:p w14:paraId="6FD7E717" w14:textId="77777777" w:rsidR="008D4204" w:rsidRPr="008D4204" w:rsidRDefault="008D4204" w:rsidP="008D4204">
      <w:pPr>
        <w:numPr>
          <w:ilvl w:val="0"/>
          <w:numId w:val="16"/>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États-Unis :</w:t>
      </w:r>
      <w:r w:rsidRPr="008D4204">
        <w:rPr>
          <w:rFonts w:eastAsia="Times New Roman" w:cstheme="minorHAnsi"/>
          <w:sz w:val="24"/>
          <w:szCs w:val="24"/>
          <w:lang w:eastAsia="fr-FR"/>
        </w:rPr>
        <w:t xml:space="preserve"> 14,5 % (18 points) ;</w:t>
      </w:r>
    </w:p>
    <w:p w14:paraId="48C96294" w14:textId="77777777" w:rsidR="008D4204" w:rsidRPr="008D4204" w:rsidRDefault="008D4204" w:rsidP="008D4204">
      <w:pPr>
        <w:numPr>
          <w:ilvl w:val="0"/>
          <w:numId w:val="16"/>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Top 5 Europe :</w:t>
      </w:r>
      <w:r w:rsidRPr="008D4204">
        <w:rPr>
          <w:rFonts w:eastAsia="Times New Roman" w:cstheme="minorHAnsi"/>
          <w:sz w:val="24"/>
          <w:szCs w:val="24"/>
          <w:lang w:eastAsia="fr-FR"/>
        </w:rPr>
        <w:t xml:space="preserve"> 17,2 % ;</w:t>
      </w:r>
    </w:p>
    <w:p w14:paraId="70D7A01A" w14:textId="77777777" w:rsidR="008D4204" w:rsidRPr="008D4204" w:rsidRDefault="008D4204" w:rsidP="008D4204">
      <w:pPr>
        <w:numPr>
          <w:ilvl w:val="0"/>
          <w:numId w:val="16"/>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France :</w:t>
      </w:r>
      <w:r w:rsidRPr="008D4204">
        <w:rPr>
          <w:rFonts w:eastAsia="Times New Roman" w:cstheme="minorHAnsi"/>
          <w:sz w:val="24"/>
          <w:szCs w:val="24"/>
          <w:lang w:eastAsia="fr-FR"/>
        </w:rPr>
        <w:t xml:space="preserve"> 19,3 % (14 points).</w:t>
      </w:r>
    </w:p>
    <w:p w14:paraId="1B260B92"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 xml:space="preserve">Source : IDATE </w:t>
      </w:r>
      <w:proofErr w:type="spellStart"/>
      <w:r w:rsidRPr="008D4204">
        <w:rPr>
          <w:rFonts w:eastAsia="Times New Roman" w:cstheme="minorHAnsi"/>
          <w:sz w:val="24"/>
          <w:szCs w:val="24"/>
          <w:lang w:eastAsia="fr-FR"/>
        </w:rPr>
        <w:t>DigiWorld</w:t>
      </w:r>
      <w:proofErr w:type="spellEnd"/>
      <w:r w:rsidRPr="008D4204">
        <w:rPr>
          <w:rFonts w:eastAsia="Times New Roman" w:cstheme="minorHAnsi"/>
          <w:sz w:val="24"/>
          <w:szCs w:val="24"/>
          <w:lang w:eastAsia="fr-FR"/>
        </w:rPr>
        <w:t>.</w:t>
      </w:r>
    </w:p>
    <w:p w14:paraId="1D9698E9"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 xml:space="preserve">* EBITDA = </w:t>
      </w:r>
      <w:proofErr w:type="spellStart"/>
      <w:r w:rsidRPr="00712DEF">
        <w:rPr>
          <w:rFonts w:eastAsia="Times New Roman" w:cstheme="minorHAnsi"/>
          <w:i/>
          <w:iCs/>
          <w:sz w:val="24"/>
          <w:szCs w:val="24"/>
          <w:lang w:eastAsia="fr-FR"/>
        </w:rPr>
        <w:t>Earnings</w:t>
      </w:r>
      <w:proofErr w:type="spellEnd"/>
      <w:r w:rsidRPr="00712DEF">
        <w:rPr>
          <w:rFonts w:eastAsia="Times New Roman" w:cstheme="minorHAnsi"/>
          <w:i/>
          <w:iCs/>
          <w:sz w:val="24"/>
          <w:szCs w:val="24"/>
          <w:lang w:eastAsia="fr-FR"/>
        </w:rPr>
        <w:t xml:space="preserve"> </w:t>
      </w:r>
      <w:proofErr w:type="spellStart"/>
      <w:r w:rsidRPr="00712DEF">
        <w:rPr>
          <w:rFonts w:eastAsia="Times New Roman" w:cstheme="minorHAnsi"/>
          <w:i/>
          <w:iCs/>
          <w:sz w:val="24"/>
          <w:szCs w:val="24"/>
          <w:lang w:eastAsia="fr-FR"/>
        </w:rPr>
        <w:t>before</w:t>
      </w:r>
      <w:proofErr w:type="spellEnd"/>
      <w:r w:rsidRPr="00712DEF">
        <w:rPr>
          <w:rFonts w:eastAsia="Times New Roman" w:cstheme="minorHAnsi"/>
          <w:i/>
          <w:iCs/>
          <w:sz w:val="24"/>
          <w:szCs w:val="24"/>
          <w:lang w:eastAsia="fr-FR"/>
        </w:rPr>
        <w:t xml:space="preserve"> </w:t>
      </w:r>
      <w:proofErr w:type="spellStart"/>
      <w:r w:rsidRPr="00712DEF">
        <w:rPr>
          <w:rFonts w:eastAsia="Times New Roman" w:cstheme="minorHAnsi"/>
          <w:i/>
          <w:iCs/>
          <w:sz w:val="24"/>
          <w:szCs w:val="24"/>
          <w:lang w:eastAsia="fr-FR"/>
        </w:rPr>
        <w:t>interest</w:t>
      </w:r>
      <w:proofErr w:type="spellEnd"/>
      <w:r w:rsidRPr="00712DEF">
        <w:rPr>
          <w:rFonts w:eastAsia="Times New Roman" w:cstheme="minorHAnsi"/>
          <w:i/>
          <w:iCs/>
          <w:sz w:val="24"/>
          <w:szCs w:val="24"/>
          <w:lang w:eastAsia="fr-FR"/>
        </w:rPr>
        <w:t xml:space="preserve">, taxes, </w:t>
      </w:r>
      <w:proofErr w:type="spellStart"/>
      <w:r w:rsidRPr="00712DEF">
        <w:rPr>
          <w:rFonts w:eastAsia="Times New Roman" w:cstheme="minorHAnsi"/>
          <w:i/>
          <w:iCs/>
          <w:sz w:val="24"/>
          <w:szCs w:val="24"/>
          <w:lang w:eastAsia="fr-FR"/>
        </w:rPr>
        <w:t>depreciation</w:t>
      </w:r>
      <w:proofErr w:type="spellEnd"/>
      <w:r w:rsidRPr="00712DEF">
        <w:rPr>
          <w:rFonts w:eastAsia="Times New Roman" w:cstheme="minorHAnsi"/>
          <w:i/>
          <w:iCs/>
          <w:sz w:val="24"/>
          <w:szCs w:val="24"/>
          <w:lang w:eastAsia="fr-FR"/>
        </w:rPr>
        <w:t xml:space="preserve">, and </w:t>
      </w:r>
      <w:proofErr w:type="spellStart"/>
      <w:r w:rsidRPr="00712DEF">
        <w:rPr>
          <w:rFonts w:eastAsia="Times New Roman" w:cstheme="minorHAnsi"/>
          <w:i/>
          <w:iCs/>
          <w:sz w:val="24"/>
          <w:szCs w:val="24"/>
          <w:lang w:eastAsia="fr-FR"/>
        </w:rPr>
        <w:t>amortization</w:t>
      </w:r>
      <w:proofErr w:type="spellEnd"/>
      <w:r w:rsidRPr="008D4204">
        <w:rPr>
          <w:rFonts w:eastAsia="Times New Roman" w:cstheme="minorHAnsi"/>
          <w:sz w:val="24"/>
          <w:szCs w:val="24"/>
          <w:lang w:eastAsia="fr-FR"/>
        </w:rPr>
        <w:t>. En français : Bénéfice avant intérêts, impôts, dépréciation et amortissement (BAIIDA).</w:t>
      </w:r>
    </w:p>
    <w:p w14:paraId="409FCBC7" w14:textId="5F449A41"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Les investissements français plus élevés que la moyenne se font au prix d’un niveau d’effort beaucoup plus important que dans les autres grandes économies</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La question de la pérennité de ce taux d’effort exceptionnel se pose</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À la veille des investissements majeurs que va nécessiter le déploiement de la 5G, la question de la marge de manœuvre restant aux opérateurs français se pose.</w:t>
      </w:r>
    </w:p>
    <w:p w14:paraId="4D596C08" w14:textId="77777777" w:rsidR="008D4204" w:rsidRPr="008D4204" w:rsidRDefault="008D4204" w:rsidP="00712DEF">
      <w:pPr>
        <w:pStyle w:val="Titre2"/>
      </w:pPr>
      <w:r w:rsidRPr="008D4204">
        <w:t>2.5 Perspective sur l’investissement aux États-Unis.</w:t>
      </w:r>
    </w:p>
    <w:p w14:paraId="58CCBB42" w14:textId="1E936003"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Aux États-Unis, les opérateurs, bénéficiant de revenus plus élevés, augmentent leur taux d’effort et accroissent significativement leurs CAPEX dans les années à venir.</w:t>
      </w:r>
      <w:r w:rsidR="00712DEF">
        <w:rPr>
          <w:rFonts w:eastAsia="Times New Roman" w:cstheme="minorHAnsi"/>
          <w:sz w:val="24"/>
          <w:szCs w:val="24"/>
          <w:lang w:eastAsia="fr-FR"/>
        </w:rPr>
        <w:t xml:space="preserve"> </w:t>
      </w:r>
      <w:r w:rsidRPr="008D4204">
        <w:rPr>
          <w:rFonts w:eastAsia="Times New Roman" w:cstheme="minorHAnsi"/>
          <w:sz w:val="24"/>
          <w:szCs w:val="24"/>
          <w:lang w:eastAsia="fr-FR"/>
        </w:rPr>
        <w:t>Taux d’effort, USA (CAPEX / Chiffre d'Affaires) :</w:t>
      </w:r>
    </w:p>
    <w:p w14:paraId="4138A5C6"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2012 :</w:t>
      </w:r>
      <w:r w:rsidRPr="008D4204">
        <w:rPr>
          <w:rFonts w:eastAsia="Times New Roman" w:cstheme="minorHAnsi"/>
          <w:sz w:val="24"/>
          <w:szCs w:val="24"/>
          <w:lang w:eastAsia="fr-FR"/>
        </w:rPr>
        <w:t xml:space="preserve"> 15 % ;</w:t>
      </w:r>
    </w:p>
    <w:p w14:paraId="353C6BC1"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2013 :</w:t>
      </w:r>
      <w:r w:rsidRPr="008D4204">
        <w:rPr>
          <w:rFonts w:eastAsia="Times New Roman" w:cstheme="minorHAnsi"/>
          <w:sz w:val="24"/>
          <w:szCs w:val="24"/>
          <w:lang w:eastAsia="fr-FR"/>
        </w:rPr>
        <w:t xml:space="preserve"> 17 % ;</w:t>
      </w:r>
    </w:p>
    <w:p w14:paraId="69FEA83F"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2014 :</w:t>
      </w:r>
      <w:r w:rsidRPr="008D4204">
        <w:rPr>
          <w:rFonts w:eastAsia="Times New Roman" w:cstheme="minorHAnsi"/>
          <w:sz w:val="24"/>
          <w:szCs w:val="24"/>
          <w:lang w:eastAsia="fr-FR"/>
        </w:rPr>
        <w:t xml:space="preserve"> 16 % ;</w:t>
      </w:r>
    </w:p>
    <w:p w14:paraId="6989709F"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2015 :</w:t>
      </w:r>
      <w:r w:rsidRPr="008D4204">
        <w:rPr>
          <w:rFonts w:eastAsia="Times New Roman" w:cstheme="minorHAnsi"/>
          <w:sz w:val="24"/>
          <w:szCs w:val="24"/>
          <w:lang w:eastAsia="fr-FR"/>
        </w:rPr>
        <w:t xml:space="preserve"> 16 % ;</w:t>
      </w:r>
    </w:p>
    <w:p w14:paraId="58B267A4"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2016 :</w:t>
      </w:r>
      <w:r w:rsidRPr="008D4204">
        <w:rPr>
          <w:rFonts w:eastAsia="Times New Roman" w:cstheme="minorHAnsi"/>
          <w:sz w:val="24"/>
          <w:szCs w:val="24"/>
          <w:lang w:eastAsia="fr-FR"/>
        </w:rPr>
        <w:t xml:space="preserve"> 14 % ;</w:t>
      </w:r>
    </w:p>
    <w:p w14:paraId="4F3EDD49"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2017 :</w:t>
      </w:r>
      <w:r w:rsidRPr="008D4204">
        <w:rPr>
          <w:rFonts w:eastAsia="Times New Roman" w:cstheme="minorHAnsi"/>
          <w:sz w:val="24"/>
          <w:szCs w:val="24"/>
          <w:lang w:eastAsia="fr-FR"/>
        </w:rPr>
        <w:t xml:space="preserve"> 15 % ;</w:t>
      </w:r>
    </w:p>
    <w:p w14:paraId="39BC2A23"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2018 :</w:t>
      </w:r>
      <w:r w:rsidRPr="008D4204">
        <w:rPr>
          <w:rFonts w:eastAsia="Times New Roman" w:cstheme="minorHAnsi"/>
          <w:sz w:val="24"/>
          <w:szCs w:val="24"/>
          <w:lang w:eastAsia="fr-FR"/>
        </w:rPr>
        <w:t xml:space="preserve"> 15 % ;</w:t>
      </w:r>
    </w:p>
    <w:p w14:paraId="02A95AC8"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2019 :</w:t>
      </w:r>
      <w:r w:rsidRPr="008D4204">
        <w:rPr>
          <w:rFonts w:eastAsia="Times New Roman" w:cstheme="minorHAnsi"/>
          <w:sz w:val="24"/>
          <w:szCs w:val="24"/>
          <w:lang w:eastAsia="fr-FR"/>
        </w:rPr>
        <w:t xml:space="preserve"> 16 % ;</w:t>
      </w:r>
    </w:p>
    <w:p w14:paraId="360C6ADF"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2020 :</w:t>
      </w:r>
      <w:r w:rsidRPr="008D4204">
        <w:rPr>
          <w:rFonts w:eastAsia="Times New Roman" w:cstheme="minorHAnsi"/>
          <w:sz w:val="24"/>
          <w:szCs w:val="24"/>
          <w:lang w:eastAsia="fr-FR"/>
        </w:rPr>
        <w:t xml:space="preserve"> 16 % ;</w:t>
      </w:r>
    </w:p>
    <w:p w14:paraId="156CBA0B"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2021 :</w:t>
      </w:r>
      <w:r w:rsidRPr="008D4204">
        <w:rPr>
          <w:rFonts w:eastAsia="Times New Roman" w:cstheme="minorHAnsi"/>
          <w:sz w:val="24"/>
          <w:szCs w:val="24"/>
          <w:lang w:eastAsia="fr-FR"/>
        </w:rPr>
        <w:t xml:space="preserve"> 16 % ;</w:t>
      </w:r>
    </w:p>
    <w:p w14:paraId="0729F7FD"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2022 :</w:t>
      </w:r>
      <w:r w:rsidRPr="008D4204">
        <w:rPr>
          <w:rFonts w:eastAsia="Times New Roman" w:cstheme="minorHAnsi"/>
          <w:sz w:val="24"/>
          <w:szCs w:val="24"/>
          <w:lang w:eastAsia="fr-FR"/>
        </w:rPr>
        <w:t xml:space="preserve"> 17 % ;</w:t>
      </w:r>
    </w:p>
    <w:p w14:paraId="701B5D07" w14:textId="77777777" w:rsidR="008D4204" w:rsidRPr="008D4204" w:rsidRDefault="008D4204" w:rsidP="008D4204">
      <w:pPr>
        <w:numPr>
          <w:ilvl w:val="0"/>
          <w:numId w:val="17"/>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2023 :</w:t>
      </w:r>
      <w:r w:rsidRPr="008D4204">
        <w:rPr>
          <w:rFonts w:eastAsia="Times New Roman" w:cstheme="minorHAnsi"/>
          <w:sz w:val="24"/>
          <w:szCs w:val="24"/>
          <w:lang w:eastAsia="fr-FR"/>
        </w:rPr>
        <w:t xml:space="preserve"> 17 %.</w:t>
      </w:r>
    </w:p>
    <w:p w14:paraId="64CCD79E"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CAPEX mobile, USA (en millions de dollars) :</w:t>
      </w:r>
    </w:p>
    <w:p w14:paraId="2178AED4"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2012 :</w:t>
      </w:r>
      <w:r w:rsidRPr="008D4204">
        <w:rPr>
          <w:rFonts w:eastAsia="Times New Roman" w:cstheme="minorHAnsi"/>
          <w:sz w:val="24"/>
          <w:szCs w:val="24"/>
          <w:lang w:eastAsia="fr-FR"/>
        </w:rPr>
        <w:t xml:space="preserve"> 29 ;</w:t>
      </w:r>
    </w:p>
    <w:p w14:paraId="2DD7BA1B"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2013 :</w:t>
      </w:r>
      <w:r w:rsidRPr="008D4204">
        <w:rPr>
          <w:rFonts w:eastAsia="Times New Roman" w:cstheme="minorHAnsi"/>
          <w:sz w:val="24"/>
          <w:szCs w:val="24"/>
          <w:lang w:eastAsia="fr-FR"/>
        </w:rPr>
        <w:t xml:space="preserve"> 33 ;</w:t>
      </w:r>
    </w:p>
    <w:p w14:paraId="480B7566"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2014 :</w:t>
      </w:r>
      <w:r w:rsidRPr="008D4204">
        <w:rPr>
          <w:rFonts w:eastAsia="Times New Roman" w:cstheme="minorHAnsi"/>
          <w:sz w:val="24"/>
          <w:szCs w:val="24"/>
          <w:lang w:eastAsia="fr-FR"/>
        </w:rPr>
        <w:t xml:space="preserve"> 32 ;</w:t>
      </w:r>
    </w:p>
    <w:p w14:paraId="7AA3B0DA"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2015 :</w:t>
      </w:r>
      <w:r w:rsidRPr="008D4204">
        <w:rPr>
          <w:rFonts w:eastAsia="Times New Roman" w:cstheme="minorHAnsi"/>
          <w:sz w:val="24"/>
          <w:szCs w:val="24"/>
          <w:lang w:eastAsia="fr-FR"/>
        </w:rPr>
        <w:t xml:space="preserve"> 31 ;</w:t>
      </w:r>
    </w:p>
    <w:p w14:paraId="74C4A37D"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lastRenderedPageBreak/>
        <w:t>2016 :</w:t>
      </w:r>
      <w:r w:rsidRPr="008D4204">
        <w:rPr>
          <w:rFonts w:eastAsia="Times New Roman" w:cstheme="minorHAnsi"/>
          <w:sz w:val="24"/>
          <w:szCs w:val="24"/>
          <w:lang w:eastAsia="fr-FR"/>
        </w:rPr>
        <w:t xml:space="preserve"> 27 ;</w:t>
      </w:r>
    </w:p>
    <w:p w14:paraId="36C0DBD6"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2017 :</w:t>
      </w:r>
      <w:r w:rsidRPr="008D4204">
        <w:rPr>
          <w:rFonts w:eastAsia="Times New Roman" w:cstheme="minorHAnsi"/>
          <w:sz w:val="24"/>
          <w:szCs w:val="24"/>
          <w:lang w:eastAsia="fr-FR"/>
        </w:rPr>
        <w:t xml:space="preserve"> 28 ;</w:t>
      </w:r>
    </w:p>
    <w:p w14:paraId="1FBE6A19"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2018 :</w:t>
      </w:r>
      <w:r w:rsidRPr="008D4204">
        <w:rPr>
          <w:rFonts w:eastAsia="Times New Roman" w:cstheme="minorHAnsi"/>
          <w:sz w:val="24"/>
          <w:szCs w:val="24"/>
          <w:lang w:eastAsia="fr-FR"/>
        </w:rPr>
        <w:t xml:space="preserve"> 29 ;</w:t>
      </w:r>
    </w:p>
    <w:p w14:paraId="66F91440"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2019 :</w:t>
      </w:r>
      <w:r w:rsidRPr="008D4204">
        <w:rPr>
          <w:rFonts w:eastAsia="Times New Roman" w:cstheme="minorHAnsi"/>
          <w:sz w:val="24"/>
          <w:szCs w:val="24"/>
          <w:lang w:eastAsia="fr-FR"/>
        </w:rPr>
        <w:t xml:space="preserve"> 32 ;</w:t>
      </w:r>
    </w:p>
    <w:p w14:paraId="7C8ACCEA"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2020 :</w:t>
      </w:r>
      <w:r w:rsidRPr="008D4204">
        <w:rPr>
          <w:rFonts w:eastAsia="Times New Roman" w:cstheme="minorHAnsi"/>
          <w:sz w:val="24"/>
          <w:szCs w:val="24"/>
          <w:lang w:eastAsia="fr-FR"/>
        </w:rPr>
        <w:t xml:space="preserve"> 33 ;</w:t>
      </w:r>
    </w:p>
    <w:p w14:paraId="73E41BE6"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2021 :</w:t>
      </w:r>
      <w:r w:rsidRPr="008D4204">
        <w:rPr>
          <w:rFonts w:eastAsia="Times New Roman" w:cstheme="minorHAnsi"/>
          <w:sz w:val="24"/>
          <w:szCs w:val="24"/>
          <w:lang w:eastAsia="fr-FR"/>
        </w:rPr>
        <w:t xml:space="preserve"> 34 ;</w:t>
      </w:r>
    </w:p>
    <w:p w14:paraId="110F402B"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2022 :</w:t>
      </w:r>
      <w:r w:rsidRPr="008D4204">
        <w:rPr>
          <w:rFonts w:eastAsia="Times New Roman" w:cstheme="minorHAnsi"/>
          <w:sz w:val="24"/>
          <w:szCs w:val="24"/>
          <w:lang w:eastAsia="fr-FR"/>
        </w:rPr>
        <w:t xml:space="preserve"> 35 ;</w:t>
      </w:r>
    </w:p>
    <w:p w14:paraId="111D5D9B"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2023 :</w:t>
      </w:r>
      <w:r w:rsidRPr="008D4204">
        <w:rPr>
          <w:rFonts w:eastAsia="Times New Roman" w:cstheme="minorHAnsi"/>
          <w:sz w:val="24"/>
          <w:szCs w:val="24"/>
          <w:lang w:eastAsia="fr-FR"/>
        </w:rPr>
        <w:t xml:space="preserve"> 37 ;</w:t>
      </w:r>
    </w:p>
    <w:p w14:paraId="2E9CCEB0" w14:textId="77777777" w:rsidR="008D4204" w:rsidRPr="008D4204" w:rsidRDefault="008D4204" w:rsidP="008D4204">
      <w:pPr>
        <w:numPr>
          <w:ilvl w:val="0"/>
          <w:numId w:val="18"/>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b/>
          <w:bCs/>
          <w:sz w:val="24"/>
          <w:szCs w:val="24"/>
          <w:lang w:eastAsia="fr-FR"/>
        </w:rPr>
        <w:t>2018-2023 CAGR :</w:t>
      </w:r>
      <w:r w:rsidRPr="008D4204">
        <w:rPr>
          <w:rFonts w:eastAsia="Times New Roman" w:cstheme="minorHAnsi"/>
          <w:sz w:val="24"/>
          <w:szCs w:val="24"/>
          <w:lang w:eastAsia="fr-FR"/>
        </w:rPr>
        <w:t xml:space="preserve"> 4,9 %.</w:t>
      </w:r>
    </w:p>
    <w:p w14:paraId="50B20570" w14:textId="77777777" w:rsidR="008D4204" w:rsidRPr="00712DEF" w:rsidRDefault="008D4204" w:rsidP="008D4204">
      <w:pPr>
        <w:spacing w:before="100" w:beforeAutospacing="1" w:after="100" w:afterAutospacing="1" w:line="240" w:lineRule="auto"/>
        <w:rPr>
          <w:rFonts w:eastAsia="Times New Roman" w:cstheme="minorHAnsi"/>
          <w:sz w:val="32"/>
          <w:szCs w:val="32"/>
          <w:lang w:eastAsia="fr-FR"/>
        </w:rPr>
      </w:pPr>
      <w:r w:rsidRPr="00712DEF">
        <w:rPr>
          <w:rFonts w:eastAsia="Times New Roman" w:cstheme="minorHAnsi"/>
          <w:sz w:val="24"/>
          <w:szCs w:val="24"/>
          <w:lang w:eastAsia="fr-FR"/>
        </w:rPr>
        <w:t xml:space="preserve">Source : données opérateurs et estimation New Street </w:t>
      </w:r>
      <w:proofErr w:type="spellStart"/>
      <w:r w:rsidRPr="00712DEF">
        <w:rPr>
          <w:rFonts w:eastAsia="Times New Roman" w:cstheme="minorHAnsi"/>
          <w:sz w:val="24"/>
          <w:szCs w:val="24"/>
          <w:lang w:eastAsia="fr-FR"/>
        </w:rPr>
        <w:t>Research</w:t>
      </w:r>
      <w:proofErr w:type="spellEnd"/>
      <w:r w:rsidRPr="00712DEF">
        <w:rPr>
          <w:rFonts w:eastAsia="Times New Roman" w:cstheme="minorHAnsi"/>
          <w:sz w:val="24"/>
          <w:szCs w:val="24"/>
          <w:lang w:eastAsia="fr-FR"/>
        </w:rPr>
        <w:t>.</w:t>
      </w:r>
    </w:p>
    <w:p w14:paraId="588768D0" w14:textId="77777777" w:rsidR="008D4204" w:rsidRPr="008D4204" w:rsidRDefault="008D4204" w:rsidP="00712DEF">
      <w:pPr>
        <w:pStyle w:val="Titre1"/>
      </w:pPr>
      <w:r w:rsidRPr="008D4204">
        <w:t>À propos.</w:t>
      </w:r>
    </w:p>
    <w:p w14:paraId="5DCCC635" w14:textId="77777777" w:rsidR="008D4204" w:rsidRPr="008D4204" w:rsidRDefault="008D4204" w:rsidP="008D4204">
      <w:p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Depuis 1977, nos équipes proposent des missions de conseil, des services de veille des marchés et un programme de Clubs et de conférences afin de décrypter les enjeux de l’économie numérique et éclairer les décisions stratégiques de nos clients. Nous sommes fiers de travailler chaque année avec plus de 400 grandes entreprises et décideurs publics qui renouvellent leur confiance dans nos services, au travers de nos trois lignes d’activités.</w:t>
      </w:r>
    </w:p>
    <w:p w14:paraId="13DCC682" w14:textId="77777777" w:rsidR="008D4204" w:rsidRPr="008D4204" w:rsidRDefault="008D4204" w:rsidP="00712DEF">
      <w:pPr>
        <w:pStyle w:val="Titre2"/>
      </w:pPr>
      <w:proofErr w:type="spellStart"/>
      <w:r w:rsidRPr="008D4204">
        <w:t>Research</w:t>
      </w:r>
      <w:proofErr w:type="spellEnd"/>
      <w:r w:rsidRPr="008D4204">
        <w:t xml:space="preserve"> - Observatoire mondial / rapports :</w:t>
      </w:r>
    </w:p>
    <w:p w14:paraId="17B8283E" w14:textId="77777777" w:rsidR="008D4204" w:rsidRPr="008D4204" w:rsidRDefault="008D4204" w:rsidP="008D4204">
      <w:pPr>
        <w:numPr>
          <w:ilvl w:val="0"/>
          <w:numId w:val="19"/>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Analyses technico-économiques ;</w:t>
      </w:r>
    </w:p>
    <w:p w14:paraId="0EECA326" w14:textId="77777777" w:rsidR="008D4204" w:rsidRPr="008D4204" w:rsidRDefault="008D4204" w:rsidP="008D4204">
      <w:pPr>
        <w:numPr>
          <w:ilvl w:val="0"/>
          <w:numId w:val="19"/>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Bases de données mondiales ;</w:t>
      </w:r>
    </w:p>
    <w:p w14:paraId="273BAD5E" w14:textId="77777777" w:rsidR="008D4204" w:rsidRPr="008D4204" w:rsidRDefault="008D4204" w:rsidP="008D4204">
      <w:pPr>
        <w:numPr>
          <w:ilvl w:val="0"/>
          <w:numId w:val="19"/>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Programme d’étude des tendances numériques ;</w:t>
      </w:r>
    </w:p>
    <w:p w14:paraId="3776AA58" w14:textId="77777777" w:rsidR="008D4204" w:rsidRPr="008D4204" w:rsidRDefault="008D4204" w:rsidP="008D4204">
      <w:pPr>
        <w:numPr>
          <w:ilvl w:val="0"/>
          <w:numId w:val="19"/>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Publications sur les technologies futures.</w:t>
      </w:r>
    </w:p>
    <w:p w14:paraId="5E71B87A" w14:textId="77777777" w:rsidR="008D4204" w:rsidRPr="008D4204" w:rsidRDefault="008D4204" w:rsidP="00712DEF">
      <w:pPr>
        <w:pStyle w:val="Titre2"/>
      </w:pPr>
      <w:r w:rsidRPr="008D4204">
        <w:t>Consulting :</w:t>
      </w:r>
    </w:p>
    <w:p w14:paraId="4BBEF73D" w14:textId="77777777" w:rsidR="008D4204" w:rsidRPr="008D4204" w:rsidRDefault="008D4204" w:rsidP="008D4204">
      <w:pPr>
        <w:numPr>
          <w:ilvl w:val="0"/>
          <w:numId w:val="2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Analyses de marché et usages clients ;</w:t>
      </w:r>
    </w:p>
    <w:p w14:paraId="781FAD9B" w14:textId="77777777" w:rsidR="008D4204" w:rsidRPr="008D4204" w:rsidRDefault="008D4204" w:rsidP="008D4204">
      <w:pPr>
        <w:numPr>
          <w:ilvl w:val="0"/>
          <w:numId w:val="2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Modèles économiques ;</w:t>
      </w:r>
    </w:p>
    <w:p w14:paraId="72541A54" w14:textId="77777777" w:rsidR="008D4204" w:rsidRPr="008D4204" w:rsidRDefault="008D4204" w:rsidP="008D4204">
      <w:pPr>
        <w:numPr>
          <w:ilvl w:val="0"/>
          <w:numId w:val="2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Politiques publiques ;</w:t>
      </w:r>
    </w:p>
    <w:p w14:paraId="1F82EEA5" w14:textId="77777777" w:rsidR="008D4204" w:rsidRPr="008D4204" w:rsidRDefault="008D4204" w:rsidP="008D4204">
      <w:pPr>
        <w:numPr>
          <w:ilvl w:val="0"/>
          <w:numId w:val="2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Études de faisabilité ;</w:t>
      </w:r>
    </w:p>
    <w:p w14:paraId="7D09F998" w14:textId="77777777" w:rsidR="008D4204" w:rsidRPr="008D4204" w:rsidRDefault="008D4204" w:rsidP="008D4204">
      <w:pPr>
        <w:numPr>
          <w:ilvl w:val="0"/>
          <w:numId w:val="2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Stratégies de transformation digitale ;</w:t>
      </w:r>
    </w:p>
    <w:p w14:paraId="02B92B44" w14:textId="77777777" w:rsidR="008D4204" w:rsidRPr="008D4204" w:rsidRDefault="008D4204" w:rsidP="008D4204">
      <w:pPr>
        <w:numPr>
          <w:ilvl w:val="0"/>
          <w:numId w:val="2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Accompagnement stratégique et opérationnel ;</w:t>
      </w:r>
    </w:p>
    <w:p w14:paraId="14BD8AAD" w14:textId="77777777" w:rsidR="008D4204" w:rsidRPr="008D4204" w:rsidRDefault="008D4204" w:rsidP="008D4204">
      <w:pPr>
        <w:numPr>
          <w:ilvl w:val="0"/>
          <w:numId w:val="20"/>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Formation et communication.</w:t>
      </w:r>
    </w:p>
    <w:p w14:paraId="467DC074" w14:textId="77777777" w:rsidR="008D4204" w:rsidRPr="008D4204" w:rsidRDefault="008D4204" w:rsidP="00712DEF">
      <w:pPr>
        <w:pStyle w:val="Titre2"/>
      </w:pPr>
      <w:proofErr w:type="spellStart"/>
      <w:r w:rsidRPr="008D4204">
        <w:t>Think</w:t>
      </w:r>
      <w:proofErr w:type="spellEnd"/>
      <w:r w:rsidRPr="008D4204">
        <w:t xml:space="preserve"> </w:t>
      </w:r>
      <w:proofErr w:type="spellStart"/>
      <w:r w:rsidRPr="008D4204">
        <w:t>Thank</w:t>
      </w:r>
      <w:proofErr w:type="spellEnd"/>
      <w:r w:rsidRPr="008D4204">
        <w:t xml:space="preserve"> :</w:t>
      </w:r>
    </w:p>
    <w:p w14:paraId="614CF60F" w14:textId="77777777" w:rsidR="008D4204" w:rsidRPr="008D4204" w:rsidRDefault="008D4204" w:rsidP="008D4204">
      <w:pPr>
        <w:numPr>
          <w:ilvl w:val="0"/>
          <w:numId w:val="21"/>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30 Clubs sur Paris, Londres, Bruxelles et au Maroc ;</w:t>
      </w:r>
    </w:p>
    <w:p w14:paraId="60888812" w14:textId="77777777" w:rsidR="008D4204" w:rsidRPr="008D4204" w:rsidRDefault="008D4204" w:rsidP="008D4204">
      <w:pPr>
        <w:numPr>
          <w:ilvl w:val="0"/>
          <w:numId w:val="21"/>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3 Conférences – Montpellier, Paris et Maroc ;</w:t>
      </w:r>
    </w:p>
    <w:p w14:paraId="70D90695" w14:textId="77777777" w:rsidR="008D4204" w:rsidRPr="008D4204" w:rsidRDefault="008D4204" w:rsidP="008D4204">
      <w:pPr>
        <w:numPr>
          <w:ilvl w:val="0"/>
          <w:numId w:val="21"/>
        </w:numPr>
        <w:spacing w:before="100" w:beforeAutospacing="1" w:after="100" w:afterAutospacing="1" w:line="240" w:lineRule="auto"/>
        <w:rPr>
          <w:rFonts w:eastAsia="Times New Roman" w:cstheme="minorHAnsi"/>
          <w:sz w:val="24"/>
          <w:szCs w:val="24"/>
          <w:lang w:eastAsia="fr-FR"/>
        </w:rPr>
      </w:pPr>
      <w:r w:rsidRPr="008D4204">
        <w:rPr>
          <w:rFonts w:eastAsia="Times New Roman" w:cstheme="minorHAnsi"/>
          <w:sz w:val="24"/>
          <w:szCs w:val="24"/>
          <w:lang w:eastAsia="fr-FR"/>
        </w:rPr>
        <w:t xml:space="preserve">3 </w:t>
      </w:r>
      <w:proofErr w:type="spellStart"/>
      <w:r w:rsidRPr="008D4204">
        <w:rPr>
          <w:rFonts w:eastAsia="Times New Roman" w:cstheme="minorHAnsi"/>
          <w:sz w:val="24"/>
          <w:szCs w:val="24"/>
          <w:lang w:eastAsia="fr-FR"/>
        </w:rPr>
        <w:t>Deep</w:t>
      </w:r>
      <w:proofErr w:type="spellEnd"/>
      <w:r w:rsidRPr="008D4204">
        <w:rPr>
          <w:rFonts w:eastAsia="Times New Roman" w:cstheme="minorHAnsi"/>
          <w:sz w:val="24"/>
          <w:szCs w:val="24"/>
          <w:lang w:eastAsia="fr-FR"/>
        </w:rPr>
        <w:t xml:space="preserve"> Dive Workshops ;</w:t>
      </w:r>
    </w:p>
    <w:p w14:paraId="50DE7F7C" w14:textId="77777777" w:rsidR="008D4204" w:rsidRPr="008D4204" w:rsidRDefault="008D4204" w:rsidP="008D4204">
      <w:pPr>
        <w:numPr>
          <w:ilvl w:val="0"/>
          <w:numId w:val="21"/>
        </w:numPr>
        <w:spacing w:before="100" w:beforeAutospacing="1" w:after="100" w:afterAutospacing="1" w:line="240" w:lineRule="auto"/>
        <w:rPr>
          <w:rFonts w:eastAsia="Times New Roman" w:cstheme="minorHAnsi"/>
          <w:sz w:val="24"/>
          <w:szCs w:val="24"/>
          <w:lang w:eastAsia="fr-FR"/>
        </w:rPr>
      </w:pPr>
      <w:proofErr w:type="spellStart"/>
      <w:r w:rsidRPr="008D4204">
        <w:rPr>
          <w:rFonts w:eastAsia="Times New Roman" w:cstheme="minorHAnsi"/>
          <w:sz w:val="24"/>
          <w:szCs w:val="24"/>
          <w:lang w:eastAsia="fr-FR"/>
        </w:rPr>
        <w:t>DigiWorld</w:t>
      </w:r>
      <w:proofErr w:type="spellEnd"/>
      <w:r w:rsidRPr="008D4204">
        <w:rPr>
          <w:rFonts w:eastAsia="Times New Roman" w:cstheme="minorHAnsi"/>
          <w:sz w:val="24"/>
          <w:szCs w:val="24"/>
          <w:lang w:eastAsia="fr-FR"/>
        </w:rPr>
        <w:t xml:space="preserve"> </w:t>
      </w:r>
      <w:proofErr w:type="spellStart"/>
      <w:r w:rsidRPr="008D4204">
        <w:rPr>
          <w:rFonts w:eastAsia="Times New Roman" w:cstheme="minorHAnsi"/>
          <w:sz w:val="24"/>
          <w:szCs w:val="24"/>
          <w:lang w:eastAsia="fr-FR"/>
        </w:rPr>
        <w:t>Yearbook</w:t>
      </w:r>
      <w:proofErr w:type="spellEnd"/>
      <w:r w:rsidRPr="008D4204">
        <w:rPr>
          <w:rFonts w:eastAsia="Times New Roman" w:cstheme="minorHAnsi"/>
          <w:sz w:val="24"/>
          <w:szCs w:val="24"/>
          <w:lang w:eastAsia="fr-FR"/>
        </w:rPr>
        <w:t xml:space="preserve"> (International &amp; </w:t>
      </w:r>
      <w:proofErr w:type="spellStart"/>
      <w:r w:rsidRPr="008D4204">
        <w:rPr>
          <w:rFonts w:eastAsia="Times New Roman" w:cstheme="minorHAnsi"/>
          <w:sz w:val="24"/>
          <w:szCs w:val="24"/>
          <w:lang w:eastAsia="fr-FR"/>
        </w:rPr>
        <w:t>Africa</w:t>
      </w:r>
      <w:proofErr w:type="spellEnd"/>
      <w:r w:rsidRPr="008D4204">
        <w:rPr>
          <w:rFonts w:eastAsia="Times New Roman" w:cstheme="minorHAnsi"/>
          <w:sz w:val="24"/>
          <w:szCs w:val="24"/>
          <w:lang w:eastAsia="fr-FR"/>
        </w:rPr>
        <w:t>).</w:t>
      </w:r>
    </w:p>
    <w:p w14:paraId="02CD8D8B" w14:textId="77777777" w:rsidR="008D4204" w:rsidRPr="008D4204" w:rsidRDefault="00712DEF" w:rsidP="008D4204">
      <w:pPr>
        <w:spacing w:before="100" w:beforeAutospacing="1" w:after="100" w:afterAutospacing="1" w:line="240" w:lineRule="auto"/>
        <w:rPr>
          <w:rFonts w:eastAsia="Times New Roman" w:cstheme="minorHAnsi"/>
          <w:sz w:val="24"/>
          <w:szCs w:val="24"/>
          <w:lang w:eastAsia="fr-FR"/>
        </w:rPr>
      </w:pPr>
      <w:hyperlink r:id="rId7" w:tgtFrame="_blank" w:history="1">
        <w:r w:rsidR="008D4204" w:rsidRPr="008D4204">
          <w:rPr>
            <w:rFonts w:eastAsia="Times New Roman" w:cstheme="minorHAnsi"/>
            <w:color w:val="0000FF"/>
            <w:sz w:val="24"/>
            <w:szCs w:val="24"/>
            <w:u w:val="single"/>
            <w:lang w:eastAsia="fr-FR"/>
          </w:rPr>
          <w:t>www.idate.org</w:t>
        </w:r>
      </w:hyperlink>
    </w:p>
    <w:p w14:paraId="22BBCAA4" w14:textId="77777777" w:rsidR="005D6317" w:rsidRPr="008D4204" w:rsidRDefault="00712DEF">
      <w:pPr>
        <w:rPr>
          <w:rFonts w:cstheme="minorHAnsi"/>
        </w:rPr>
      </w:pPr>
    </w:p>
    <w:sectPr w:rsidR="005D6317" w:rsidRPr="008D420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875719" w14:textId="77777777" w:rsidR="00A925B3" w:rsidRDefault="00A925B3" w:rsidP="00A925B3">
      <w:pPr>
        <w:spacing w:after="0" w:line="240" w:lineRule="auto"/>
      </w:pPr>
      <w:r>
        <w:separator/>
      </w:r>
    </w:p>
  </w:endnote>
  <w:endnote w:type="continuationSeparator" w:id="0">
    <w:p w14:paraId="27D32014" w14:textId="77777777" w:rsidR="00A925B3" w:rsidRDefault="00A925B3" w:rsidP="00A925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4007346"/>
      <w:docPartObj>
        <w:docPartGallery w:val="Page Numbers (Bottom of Page)"/>
        <w:docPartUnique/>
      </w:docPartObj>
    </w:sdtPr>
    <w:sdtContent>
      <w:p w14:paraId="4953ED0F" w14:textId="7EC1CE54" w:rsidR="00712DEF" w:rsidRDefault="00712DEF" w:rsidP="00712DEF">
        <w:pPr>
          <w:pStyle w:val="Pieddepage"/>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199868" w14:textId="77777777" w:rsidR="00A925B3" w:rsidRDefault="00A925B3" w:rsidP="00A925B3">
      <w:pPr>
        <w:spacing w:after="0" w:line="240" w:lineRule="auto"/>
      </w:pPr>
      <w:r>
        <w:separator/>
      </w:r>
    </w:p>
  </w:footnote>
  <w:footnote w:type="continuationSeparator" w:id="0">
    <w:p w14:paraId="744CB324" w14:textId="77777777" w:rsidR="00A925B3" w:rsidRDefault="00A925B3" w:rsidP="00A925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50E3C" w14:textId="31DC6EDF" w:rsidR="00A925B3" w:rsidRDefault="00A925B3" w:rsidP="00A925B3">
    <w:pPr>
      <w:pStyle w:val="En-tte"/>
      <w:spacing w:after="360"/>
      <w:jc w:val="center"/>
    </w:pPr>
    <w:r>
      <w:rPr>
        <w:noProof/>
      </w:rPr>
      <w:drawing>
        <wp:inline distT="0" distB="0" distL="0" distR="0" wp14:anchorId="70963155" wp14:editId="43522ADA">
          <wp:extent cx="792218" cy="288000"/>
          <wp:effectExtent l="0" t="0" r="8255" b="0"/>
          <wp:docPr id="1" name="Imag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FTélécoms.png"/>
                  <pic:cNvPicPr/>
                </pic:nvPicPr>
                <pic:blipFill>
                  <a:blip r:embed="rId1">
                    <a:extLst>
                      <a:ext uri="{28A0092B-C50C-407E-A947-70E740481C1C}">
                        <a14:useLocalDpi xmlns:a14="http://schemas.microsoft.com/office/drawing/2010/main" val="0"/>
                      </a:ext>
                    </a:extLst>
                  </a:blip>
                  <a:stretch>
                    <a:fillRect/>
                  </a:stretch>
                </pic:blipFill>
                <pic:spPr>
                  <a:xfrm>
                    <a:off x="0" y="0"/>
                    <a:ext cx="792218"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F3293E"/>
    <w:multiLevelType w:val="multilevel"/>
    <w:tmpl w:val="B6A4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3349B2"/>
    <w:multiLevelType w:val="multilevel"/>
    <w:tmpl w:val="D6AAD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077F41"/>
    <w:multiLevelType w:val="multilevel"/>
    <w:tmpl w:val="4B5C7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D2C56"/>
    <w:multiLevelType w:val="multilevel"/>
    <w:tmpl w:val="264C7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E175E8"/>
    <w:multiLevelType w:val="multilevel"/>
    <w:tmpl w:val="18A6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7D15A8"/>
    <w:multiLevelType w:val="hybridMultilevel"/>
    <w:tmpl w:val="14521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2E73FB8"/>
    <w:multiLevelType w:val="multilevel"/>
    <w:tmpl w:val="855C8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611EF9"/>
    <w:multiLevelType w:val="multilevel"/>
    <w:tmpl w:val="F8D22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7E5BEE"/>
    <w:multiLevelType w:val="multilevel"/>
    <w:tmpl w:val="024EB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D21237"/>
    <w:multiLevelType w:val="hybridMultilevel"/>
    <w:tmpl w:val="063203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CA16941"/>
    <w:multiLevelType w:val="multilevel"/>
    <w:tmpl w:val="49DAC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1F2A9E"/>
    <w:multiLevelType w:val="multilevel"/>
    <w:tmpl w:val="50AE9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274F11"/>
    <w:multiLevelType w:val="multilevel"/>
    <w:tmpl w:val="18D62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D1B6F53"/>
    <w:multiLevelType w:val="multilevel"/>
    <w:tmpl w:val="2294E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4FA713D"/>
    <w:multiLevelType w:val="multilevel"/>
    <w:tmpl w:val="11A8A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4A509D"/>
    <w:multiLevelType w:val="multilevel"/>
    <w:tmpl w:val="D94A9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6F1BAA"/>
    <w:multiLevelType w:val="multilevel"/>
    <w:tmpl w:val="004C9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47C42EE"/>
    <w:multiLevelType w:val="multilevel"/>
    <w:tmpl w:val="ADA4D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33058D"/>
    <w:multiLevelType w:val="multilevel"/>
    <w:tmpl w:val="6526B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C3279A7"/>
    <w:multiLevelType w:val="multilevel"/>
    <w:tmpl w:val="BECE8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F0508F"/>
    <w:multiLevelType w:val="multilevel"/>
    <w:tmpl w:val="9BE64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7357FF"/>
    <w:multiLevelType w:val="multilevel"/>
    <w:tmpl w:val="0E705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4CB6DE8"/>
    <w:multiLevelType w:val="multilevel"/>
    <w:tmpl w:val="49EA2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9"/>
  </w:num>
  <w:num w:numId="3">
    <w:abstractNumId w:val="22"/>
  </w:num>
  <w:num w:numId="4">
    <w:abstractNumId w:val="16"/>
  </w:num>
  <w:num w:numId="5">
    <w:abstractNumId w:val="14"/>
  </w:num>
  <w:num w:numId="6">
    <w:abstractNumId w:val="17"/>
  </w:num>
  <w:num w:numId="7">
    <w:abstractNumId w:val="1"/>
  </w:num>
  <w:num w:numId="8">
    <w:abstractNumId w:val="8"/>
  </w:num>
  <w:num w:numId="9">
    <w:abstractNumId w:val="13"/>
  </w:num>
  <w:num w:numId="10">
    <w:abstractNumId w:val="15"/>
  </w:num>
  <w:num w:numId="11">
    <w:abstractNumId w:val="6"/>
  </w:num>
  <w:num w:numId="12">
    <w:abstractNumId w:val="20"/>
  </w:num>
  <w:num w:numId="13">
    <w:abstractNumId w:val="4"/>
  </w:num>
  <w:num w:numId="14">
    <w:abstractNumId w:val="11"/>
  </w:num>
  <w:num w:numId="15">
    <w:abstractNumId w:val="21"/>
  </w:num>
  <w:num w:numId="16">
    <w:abstractNumId w:val="2"/>
  </w:num>
  <w:num w:numId="17">
    <w:abstractNumId w:val="12"/>
  </w:num>
  <w:num w:numId="18">
    <w:abstractNumId w:val="0"/>
  </w:num>
  <w:num w:numId="19">
    <w:abstractNumId w:val="7"/>
  </w:num>
  <w:num w:numId="20">
    <w:abstractNumId w:val="10"/>
  </w:num>
  <w:num w:numId="21">
    <w:abstractNumId w:val="18"/>
  </w:num>
  <w:num w:numId="22">
    <w:abstractNumId w:val="9"/>
  </w:num>
  <w:num w:numId="2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4204"/>
    <w:rsid w:val="00236CDA"/>
    <w:rsid w:val="00712DEF"/>
    <w:rsid w:val="007F5370"/>
    <w:rsid w:val="008D4204"/>
    <w:rsid w:val="00A925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F95847"/>
  <w15:chartTrackingRefBased/>
  <w15:docId w15:val="{96878433-B14A-4DDF-93B6-837403896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A925B3"/>
    <w:pPr>
      <w:pBdr>
        <w:bottom w:val="single" w:sz="4" w:space="1" w:color="auto"/>
      </w:pBdr>
      <w:spacing w:before="100" w:beforeAutospacing="1" w:after="100" w:afterAutospacing="1" w:line="240" w:lineRule="auto"/>
      <w:outlineLvl w:val="0"/>
    </w:pPr>
    <w:rPr>
      <w:rFonts w:eastAsia="Times New Roman" w:cstheme="minorHAnsi"/>
      <w:b/>
      <w:bCs/>
      <w:sz w:val="32"/>
      <w:szCs w:val="32"/>
      <w:lang w:eastAsia="fr-FR"/>
    </w:rPr>
  </w:style>
  <w:style w:type="paragraph" w:styleId="Titre2">
    <w:name w:val="heading 2"/>
    <w:basedOn w:val="Normal"/>
    <w:next w:val="Normal"/>
    <w:link w:val="Titre2Car"/>
    <w:uiPriority w:val="9"/>
    <w:unhideWhenUsed/>
    <w:qFormat/>
    <w:rsid w:val="00A925B3"/>
    <w:pPr>
      <w:spacing w:before="100" w:beforeAutospacing="1" w:after="100" w:afterAutospacing="1" w:line="240" w:lineRule="auto"/>
      <w:ind w:left="708"/>
      <w:outlineLvl w:val="1"/>
    </w:pPr>
    <w:rPr>
      <w:rFonts w:eastAsia="Times New Roman" w:cstheme="minorHAnsi"/>
      <w:b/>
      <w:bCs/>
      <w:sz w:val="28"/>
      <w:szCs w:val="28"/>
      <w:lang w:eastAsia="fr-FR"/>
    </w:rPr>
  </w:style>
  <w:style w:type="paragraph" w:styleId="Titre3">
    <w:name w:val="heading 3"/>
    <w:basedOn w:val="Normal"/>
    <w:link w:val="Titre3Car"/>
    <w:uiPriority w:val="9"/>
    <w:qFormat/>
    <w:rsid w:val="008D420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8D420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8D420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8D4204"/>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8D420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8D4204"/>
    <w:rPr>
      <w:b/>
      <w:bCs/>
    </w:rPr>
  </w:style>
  <w:style w:type="character" w:styleId="Accentuation">
    <w:name w:val="Emphasis"/>
    <w:basedOn w:val="Policepardfaut"/>
    <w:uiPriority w:val="20"/>
    <w:qFormat/>
    <w:rsid w:val="008D4204"/>
    <w:rPr>
      <w:i/>
      <w:iCs/>
    </w:rPr>
  </w:style>
  <w:style w:type="character" w:styleId="Lienhypertexte">
    <w:name w:val="Hyperlink"/>
    <w:basedOn w:val="Policepardfaut"/>
    <w:uiPriority w:val="99"/>
    <w:semiHidden/>
    <w:unhideWhenUsed/>
    <w:rsid w:val="008D4204"/>
    <w:rPr>
      <w:color w:val="0000FF"/>
      <w:u w:val="single"/>
    </w:rPr>
  </w:style>
  <w:style w:type="paragraph" w:styleId="En-tte">
    <w:name w:val="header"/>
    <w:basedOn w:val="Normal"/>
    <w:link w:val="En-tteCar"/>
    <w:uiPriority w:val="99"/>
    <w:unhideWhenUsed/>
    <w:rsid w:val="00A925B3"/>
    <w:pPr>
      <w:tabs>
        <w:tab w:val="center" w:pos="4536"/>
        <w:tab w:val="right" w:pos="9072"/>
      </w:tabs>
      <w:spacing w:after="0" w:line="240" w:lineRule="auto"/>
    </w:pPr>
  </w:style>
  <w:style w:type="character" w:customStyle="1" w:styleId="En-tteCar">
    <w:name w:val="En-tête Car"/>
    <w:basedOn w:val="Policepardfaut"/>
    <w:link w:val="En-tte"/>
    <w:uiPriority w:val="99"/>
    <w:rsid w:val="00A925B3"/>
  </w:style>
  <w:style w:type="paragraph" w:styleId="Pieddepage">
    <w:name w:val="footer"/>
    <w:basedOn w:val="Normal"/>
    <w:link w:val="PieddepageCar"/>
    <w:uiPriority w:val="99"/>
    <w:unhideWhenUsed/>
    <w:rsid w:val="00A925B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25B3"/>
  </w:style>
  <w:style w:type="paragraph" w:styleId="Titre">
    <w:name w:val="Title"/>
    <w:basedOn w:val="Normal"/>
    <w:next w:val="Normal"/>
    <w:link w:val="TitreCar"/>
    <w:uiPriority w:val="10"/>
    <w:qFormat/>
    <w:rsid w:val="00712DEF"/>
    <w:pPr>
      <w:shd w:val="clear" w:color="auto" w:fill="F2F2F2" w:themeFill="background1" w:themeFillShade="F2"/>
      <w:spacing w:before="100" w:beforeAutospacing="1" w:after="480" w:line="240" w:lineRule="auto"/>
      <w:jc w:val="center"/>
      <w:outlineLvl w:val="2"/>
    </w:pPr>
    <w:rPr>
      <w:rFonts w:eastAsia="Times New Roman" w:cstheme="minorHAnsi"/>
      <w:b/>
      <w:bCs/>
      <w:sz w:val="36"/>
      <w:szCs w:val="36"/>
      <w:lang w:eastAsia="fr-FR"/>
    </w:rPr>
  </w:style>
  <w:style w:type="character" w:customStyle="1" w:styleId="TitreCar">
    <w:name w:val="Titre Car"/>
    <w:basedOn w:val="Policepardfaut"/>
    <w:link w:val="Titre"/>
    <w:uiPriority w:val="10"/>
    <w:rsid w:val="00712DEF"/>
    <w:rPr>
      <w:rFonts w:eastAsia="Times New Roman" w:cstheme="minorHAnsi"/>
      <w:b/>
      <w:bCs/>
      <w:sz w:val="36"/>
      <w:szCs w:val="36"/>
      <w:shd w:val="clear" w:color="auto" w:fill="F2F2F2" w:themeFill="background1" w:themeFillShade="F2"/>
      <w:lang w:eastAsia="fr-FR"/>
    </w:rPr>
  </w:style>
  <w:style w:type="character" w:customStyle="1" w:styleId="Titre1Car">
    <w:name w:val="Titre 1 Car"/>
    <w:basedOn w:val="Policepardfaut"/>
    <w:link w:val="Titre1"/>
    <w:uiPriority w:val="9"/>
    <w:rsid w:val="00A925B3"/>
    <w:rPr>
      <w:rFonts w:eastAsia="Times New Roman" w:cstheme="minorHAnsi"/>
      <w:b/>
      <w:bCs/>
      <w:sz w:val="32"/>
      <w:szCs w:val="32"/>
      <w:lang w:eastAsia="fr-FR"/>
    </w:rPr>
  </w:style>
  <w:style w:type="character" w:customStyle="1" w:styleId="Titre2Car">
    <w:name w:val="Titre 2 Car"/>
    <w:basedOn w:val="Policepardfaut"/>
    <w:link w:val="Titre2"/>
    <w:uiPriority w:val="9"/>
    <w:rsid w:val="00A925B3"/>
    <w:rPr>
      <w:rFonts w:eastAsia="Times New Roman" w:cstheme="minorHAnsi"/>
      <w:b/>
      <w:bCs/>
      <w:sz w:val="28"/>
      <w:szCs w:val="28"/>
      <w:lang w:eastAsia="fr-FR"/>
    </w:rPr>
  </w:style>
  <w:style w:type="paragraph" w:styleId="Paragraphedeliste">
    <w:name w:val="List Paragraph"/>
    <w:basedOn w:val="Normal"/>
    <w:uiPriority w:val="34"/>
    <w:qFormat/>
    <w:rsid w:val="00712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34324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dat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7</Pages>
  <Words>1380</Words>
  <Characters>7593</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Virgile PARIS</dc:creator>
  <cp:keywords/>
  <dc:description/>
  <cp:lastModifiedBy>Virgile PARIS</cp:lastModifiedBy>
  <cp:revision>2</cp:revision>
  <dcterms:created xsi:type="dcterms:W3CDTF">2020-01-21T14:24:00Z</dcterms:created>
  <dcterms:modified xsi:type="dcterms:W3CDTF">2020-02-14T15:01:00Z</dcterms:modified>
</cp:coreProperties>
</file>